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4" w:rsidRPr="00354479" w:rsidRDefault="00252F0E" w:rsidP="00252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479">
        <w:rPr>
          <w:rFonts w:ascii="Times New Roman" w:hAnsi="Times New Roman" w:cs="Times New Roman"/>
          <w:b/>
          <w:sz w:val="32"/>
          <w:szCs w:val="32"/>
        </w:rPr>
        <w:t>Promjenjivost</w:t>
      </w:r>
      <w:proofErr w:type="spellEnd"/>
      <w:r w:rsidRPr="003544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79">
        <w:rPr>
          <w:rFonts w:ascii="Times New Roman" w:hAnsi="Times New Roman" w:cs="Times New Roman"/>
          <w:b/>
          <w:sz w:val="32"/>
          <w:szCs w:val="32"/>
        </w:rPr>
        <w:t>oborine</w:t>
      </w:r>
      <w:proofErr w:type="spellEnd"/>
      <w:r w:rsidRPr="003544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54479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3544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79">
        <w:rPr>
          <w:rFonts w:ascii="Times New Roman" w:hAnsi="Times New Roman" w:cs="Times New Roman"/>
          <w:b/>
          <w:sz w:val="32"/>
          <w:szCs w:val="32"/>
        </w:rPr>
        <w:t>udaljenosti</w:t>
      </w:r>
      <w:proofErr w:type="spellEnd"/>
      <w:r w:rsidRPr="00354479">
        <w:rPr>
          <w:rFonts w:ascii="Times New Roman" w:hAnsi="Times New Roman" w:cs="Times New Roman"/>
          <w:b/>
          <w:sz w:val="32"/>
          <w:szCs w:val="32"/>
        </w:rPr>
        <w:t xml:space="preserve"> od 70 km</w:t>
      </w:r>
    </w:p>
    <w:p w:rsidR="00A00C81" w:rsidRPr="00785875" w:rsidRDefault="00A00C81" w:rsidP="00252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0E" w:rsidRDefault="00252F0E" w:rsidP="0025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Paola </w:t>
      </w:r>
      <w:proofErr w:type="spellStart"/>
      <w:r>
        <w:rPr>
          <w:rFonts w:ascii="Times New Roman" w:hAnsi="Times New Roman" w:cs="Times New Roman"/>
          <w:sz w:val="24"/>
          <w:szCs w:val="24"/>
        </w:rPr>
        <w:t>Đaković</w:t>
      </w:r>
      <w:proofErr w:type="spellEnd"/>
    </w:p>
    <w:p w:rsidR="00252F0E" w:rsidRDefault="00252F0E" w:rsidP="0025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Hrgović</w:t>
      </w:r>
      <w:proofErr w:type="spellEnd"/>
    </w:p>
    <w:p w:rsidR="00252F0E" w:rsidRDefault="00252F0E" w:rsidP="00252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Mihanovića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Osijek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</w:t>
      </w:r>
      <w:proofErr w:type="spellEnd"/>
    </w:p>
    <w:p w:rsidR="00252F0E" w:rsidRDefault="00252F0E" w:rsidP="00252F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F0E" w:rsidRDefault="00252F0E" w:rsidP="00252F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F0E" w:rsidRPr="002A1351" w:rsidRDefault="00252F0E" w:rsidP="00252F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351">
        <w:rPr>
          <w:rFonts w:ascii="Times New Roman" w:hAnsi="Times New Roman" w:cs="Times New Roman"/>
          <w:b/>
          <w:sz w:val="24"/>
          <w:szCs w:val="24"/>
        </w:rPr>
        <w:t>Istraživačko</w:t>
      </w:r>
      <w:proofErr w:type="spellEnd"/>
      <w:r w:rsidRPr="002A1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b/>
          <w:sz w:val="24"/>
          <w:szCs w:val="24"/>
        </w:rPr>
        <w:t>pitanje</w:t>
      </w:r>
      <w:proofErr w:type="spellEnd"/>
    </w:p>
    <w:p w:rsidR="00252F0E" w:rsidRDefault="00252F0E" w:rsidP="005F7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navlačiti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isparava</w:t>
      </w:r>
      <w:r w:rsidR="003263F7">
        <w:rPr>
          <w:rFonts w:ascii="Times New Roman" w:hAnsi="Times New Roman" w:cs="Times New Roman"/>
          <w:sz w:val="24"/>
          <w:szCs w:val="24"/>
        </w:rPr>
        <w:t>njem</w:t>
      </w:r>
      <w:proofErr w:type="spellEnd"/>
      <w:r w:rsidR="0032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F7">
        <w:rPr>
          <w:rFonts w:ascii="Times New Roman" w:hAnsi="Times New Roman" w:cs="Times New Roman"/>
          <w:sz w:val="24"/>
          <w:szCs w:val="24"/>
        </w:rPr>
        <w:t>transpiracijom</w:t>
      </w:r>
      <w:proofErr w:type="spellEnd"/>
      <w:r w:rsidR="003263F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263F7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="003263F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F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2F0E" w:rsidRDefault="00252F0E" w:rsidP="005F7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Oborinom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zove</w:t>
      </w:r>
      <w:r w:rsidR="0035447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oblaka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snijeg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susnježica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tuča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mraz</w:t>
      </w:r>
      <w:proofErr w:type="spellEnd"/>
      <w:r w:rsidR="00354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inje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263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63F7">
        <w:rPr>
          <w:rFonts w:ascii="Times New Roman" w:hAnsi="Times New Roman" w:cs="Times New Roman"/>
          <w:sz w:val="24"/>
          <w:szCs w:val="24"/>
        </w:rPr>
        <w:t>Oborina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važnu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izgledu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društvenom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značenju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Zemljina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46B">
        <w:rPr>
          <w:rFonts w:ascii="Times New Roman" w:hAnsi="Times New Roman" w:cs="Times New Roman"/>
          <w:sz w:val="24"/>
          <w:szCs w:val="24"/>
        </w:rPr>
        <w:t>Uzrok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nenaseljenosti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nedos</w:t>
      </w:r>
      <w:r w:rsidR="0000379D">
        <w:rPr>
          <w:rFonts w:ascii="Times New Roman" w:hAnsi="Times New Roman" w:cs="Times New Roman"/>
          <w:sz w:val="24"/>
          <w:szCs w:val="24"/>
        </w:rPr>
        <w:t>tatak</w:t>
      </w:r>
      <w:proofErr w:type="spellEnd"/>
      <w:r w:rsidR="0000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9D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0037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4479">
        <w:rPr>
          <w:rFonts w:ascii="Times New Roman" w:hAnsi="Times New Roman" w:cs="Times New Roman"/>
          <w:sz w:val="24"/>
          <w:szCs w:val="24"/>
        </w:rPr>
        <w:t>pustinje</w:t>
      </w:r>
      <w:proofErr w:type="spellEnd"/>
      <w:r w:rsidR="00386C0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8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0C">
        <w:rPr>
          <w:rFonts w:ascii="Times New Roman" w:hAnsi="Times New Roman" w:cs="Times New Roman"/>
          <w:sz w:val="24"/>
          <w:szCs w:val="24"/>
        </w:rPr>
        <w:t>Oborina</w:t>
      </w:r>
      <w:proofErr w:type="spellEnd"/>
      <w:r w:rsidR="000037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0379D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00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379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00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9D">
        <w:rPr>
          <w:rFonts w:ascii="Times New Roman" w:hAnsi="Times New Roman" w:cs="Times New Roman"/>
          <w:sz w:val="24"/>
          <w:szCs w:val="24"/>
        </w:rPr>
        <w:t>najvažnijih</w:t>
      </w:r>
      <w:proofErr w:type="spellEnd"/>
      <w:r w:rsidR="0000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9D">
        <w:rPr>
          <w:rFonts w:ascii="Times New Roman" w:hAnsi="Times New Roman" w:cs="Times New Roman"/>
          <w:sz w:val="24"/>
          <w:szCs w:val="24"/>
        </w:rPr>
        <w:t>uv</w:t>
      </w:r>
      <w:r w:rsidR="0062246B">
        <w:rPr>
          <w:rFonts w:ascii="Times New Roman" w:hAnsi="Times New Roman" w:cs="Times New Roman"/>
          <w:sz w:val="24"/>
          <w:szCs w:val="24"/>
        </w:rPr>
        <w:t>jeta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246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znatna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prostorna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vremenska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promjenjivost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6B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6224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46B" w:rsidRDefault="0062246B" w:rsidP="00252F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62246B" w:rsidRDefault="0062246B" w:rsidP="00622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Osijeka</w:t>
      </w:r>
      <w:proofErr w:type="spellEnd"/>
    </w:p>
    <w:p w:rsidR="0062246B" w:rsidRDefault="0062246B" w:rsidP="00622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</w:p>
    <w:p w:rsidR="0062246B" w:rsidRDefault="0062246B" w:rsidP="00622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</w:t>
      </w:r>
      <w:r w:rsidR="0063080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oborinom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 w:rsidR="0063080A">
        <w:rPr>
          <w:rFonts w:ascii="Times New Roman" w:eastAsiaTheme="minorEastAsia" w:hAnsi="Times New Roman" w:cs="Times New Roman"/>
          <w:sz w:val="24"/>
          <w:szCs w:val="24"/>
        </w:rPr>
        <w:t xml:space="preserve">  mm</w:t>
      </w:r>
    </w:p>
    <w:p w:rsidR="0062246B" w:rsidRDefault="0062246B" w:rsidP="00622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naši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točni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usporedbi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DHMZ-a</w:t>
      </w:r>
    </w:p>
    <w:p w:rsidR="0062246B" w:rsidRDefault="0062246B" w:rsidP="00622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46B" w:rsidRPr="002A1351" w:rsidRDefault="0062246B" w:rsidP="00622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13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A1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b/>
          <w:sz w:val="24"/>
          <w:szCs w:val="24"/>
        </w:rPr>
        <w:t>istraživanja</w:t>
      </w:r>
      <w:proofErr w:type="spellEnd"/>
    </w:p>
    <w:p w:rsidR="0062246B" w:rsidRDefault="0062246B" w:rsidP="005F7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438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C438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C438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rosinca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C4387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87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oborini</w:t>
      </w:r>
      <w:proofErr w:type="spellEnd"/>
      <w:r w:rsidR="00C278D1">
        <w:rPr>
          <w:rFonts w:ascii="Times New Roman" w:hAnsi="Times New Roman" w:cs="Times New Roman"/>
          <w:sz w:val="24"/>
          <w:szCs w:val="24"/>
        </w:rPr>
        <w:t xml:space="preserve"> s GLOBE </w:t>
      </w:r>
      <w:proofErr w:type="spellStart"/>
      <w:r w:rsidR="00C278D1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C2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D1"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="00C2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D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C278D1">
        <w:rPr>
          <w:rFonts w:ascii="Times New Roman" w:hAnsi="Times New Roman" w:cs="Times New Roman"/>
          <w:sz w:val="24"/>
          <w:szCs w:val="24"/>
        </w:rPr>
        <w:t xml:space="preserve"> (</w:t>
      </w:r>
      <w:r w:rsidR="00C43876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Antuna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Mihanovića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O</w:t>
      </w:r>
      <w:r w:rsidR="00CE259E">
        <w:rPr>
          <w:rFonts w:ascii="Times New Roman" w:hAnsi="Times New Roman" w:cs="Times New Roman"/>
          <w:sz w:val="24"/>
          <w:szCs w:val="24"/>
        </w:rPr>
        <w:t>sijeka</w:t>
      </w:r>
      <w:proofErr w:type="spellEnd"/>
      <w:r w:rsidR="00CE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5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259E">
        <w:rPr>
          <w:rFonts w:ascii="Times New Roman" w:hAnsi="Times New Roman" w:cs="Times New Roman"/>
          <w:sz w:val="24"/>
          <w:szCs w:val="24"/>
        </w:rPr>
        <w:t xml:space="preserve"> OŠ Ivan </w:t>
      </w:r>
      <w:proofErr w:type="spellStart"/>
      <w:r w:rsidR="00CE259E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="00CE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59E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D1">
        <w:rPr>
          <w:rFonts w:ascii="Times New Roman" w:hAnsi="Times New Roman" w:cs="Times New Roman"/>
          <w:sz w:val="24"/>
          <w:szCs w:val="24"/>
        </w:rPr>
        <w:t>Slavonskog</w:t>
      </w:r>
      <w:proofErr w:type="spellEnd"/>
      <w:r w:rsidR="00C27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D1">
        <w:rPr>
          <w:rFonts w:ascii="Times New Roman" w:hAnsi="Times New Roman" w:cs="Times New Roman"/>
          <w:sz w:val="24"/>
          <w:szCs w:val="24"/>
        </w:rPr>
        <w:t>Broda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C43876">
        <w:rPr>
          <w:rFonts w:ascii="Times New Roman" w:hAnsi="Times New Roman" w:cs="Times New Roman"/>
          <w:sz w:val="24"/>
          <w:szCs w:val="24"/>
        </w:rPr>
        <w:t>Izračunali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godišnju</w:t>
      </w:r>
      <w:proofErr w:type="spellEnd"/>
      <w:r w:rsidR="00C4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76">
        <w:rPr>
          <w:rFonts w:ascii="Times New Roman" w:hAnsi="Times New Roman" w:cs="Times New Roman"/>
          <w:sz w:val="24"/>
          <w:szCs w:val="24"/>
        </w:rPr>
        <w:t>količin</w:t>
      </w:r>
      <w:r w:rsidR="0034054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4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4B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34054B">
        <w:rPr>
          <w:rFonts w:ascii="Times New Roman" w:hAnsi="Times New Roman" w:cs="Times New Roman"/>
          <w:sz w:val="24"/>
          <w:szCs w:val="24"/>
        </w:rPr>
        <w:t xml:space="preserve"> u 2015.</w:t>
      </w:r>
      <w:proofErr w:type="gramEnd"/>
      <w:r w:rsidR="0034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54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34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4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54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34054B">
        <w:rPr>
          <w:rFonts w:ascii="Times New Roman" w:hAnsi="Times New Roman" w:cs="Times New Roman"/>
          <w:sz w:val="24"/>
          <w:szCs w:val="24"/>
        </w:rPr>
        <w:t xml:space="preserve"> </w:t>
      </w:r>
      <w:r w:rsidR="0063080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2A135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r w:rsidR="002A1351">
        <w:rPr>
          <w:rFonts w:ascii="Times New Roman" w:hAnsi="Times New Roman" w:cs="Times New Roman"/>
          <w:sz w:val="24"/>
          <w:szCs w:val="24"/>
        </w:rPr>
        <w:t>mm.</w:t>
      </w:r>
    </w:p>
    <w:p w:rsidR="00C43876" w:rsidRDefault="00C43876" w:rsidP="005F7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zbroje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876" w:rsidRDefault="00C43876" w:rsidP="00C43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876" w:rsidRDefault="004B5290" w:rsidP="004B52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290">
        <w:rPr>
          <w:rFonts w:ascii="Times New Roman" w:hAnsi="Times New Roman" w:cs="Times New Roman"/>
          <w:b/>
          <w:sz w:val="24"/>
          <w:szCs w:val="24"/>
        </w:rPr>
        <w:t>Prikaz</w:t>
      </w:r>
      <w:proofErr w:type="spellEnd"/>
      <w:r w:rsidRPr="004B5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B5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Pr="004B5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</w:p>
    <w:p w:rsidR="004B5290" w:rsidRPr="004B5290" w:rsidRDefault="004B5290" w:rsidP="004B5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90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prikazali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tablično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grafički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290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290">
        <w:rPr>
          <w:rFonts w:ascii="Times New Roman" w:hAnsi="Times New Roman" w:cs="Times New Roman"/>
          <w:sz w:val="24"/>
          <w:szCs w:val="24"/>
        </w:rPr>
        <w:t>analizirali</w:t>
      </w:r>
      <w:proofErr w:type="spellEnd"/>
      <w:r w:rsidRPr="004B5290">
        <w:rPr>
          <w:rFonts w:ascii="Times New Roman" w:hAnsi="Times New Roman" w:cs="Times New Roman"/>
          <w:sz w:val="24"/>
          <w:szCs w:val="24"/>
        </w:rPr>
        <w:t>.</w:t>
      </w:r>
    </w:p>
    <w:p w:rsidR="00C43876" w:rsidRPr="004B5290" w:rsidRDefault="00C43876" w:rsidP="004B5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875" w:rsidRDefault="0034054B" w:rsidP="00380B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76900" cy="25146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5875" w:rsidRDefault="00CD3F58" w:rsidP="004B5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Mjesečn</w:t>
      </w:r>
      <w:r w:rsidR="004B07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r w:rsidR="004B079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B0796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="004B0796">
        <w:rPr>
          <w:rFonts w:ascii="Times New Roman" w:hAnsi="Times New Roman" w:cs="Times New Roman"/>
          <w:sz w:val="24"/>
          <w:szCs w:val="24"/>
        </w:rPr>
        <w:t xml:space="preserve"> </w:t>
      </w:r>
      <w:r w:rsidR="0078587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Slavonskom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75">
        <w:rPr>
          <w:rFonts w:ascii="Times New Roman" w:hAnsi="Times New Roman" w:cs="Times New Roman"/>
          <w:sz w:val="24"/>
          <w:szCs w:val="24"/>
        </w:rPr>
        <w:t>Brodu</w:t>
      </w:r>
      <w:proofErr w:type="spellEnd"/>
      <w:r w:rsidR="00785875">
        <w:rPr>
          <w:rFonts w:ascii="Times New Roman" w:hAnsi="Times New Roman" w:cs="Times New Roman"/>
          <w:sz w:val="24"/>
          <w:szCs w:val="24"/>
        </w:rPr>
        <w:t xml:space="preserve"> u 2015.</w:t>
      </w:r>
      <w:proofErr w:type="gramEnd"/>
      <w:r w:rsidR="007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90" w:rsidRDefault="004B5290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8E8" w:rsidRDefault="00785875" w:rsidP="00CE259E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spellStart"/>
      <w:r w:rsidRPr="00785875">
        <w:rPr>
          <w:rFonts w:ascii="Times New Roman" w:eastAsia="Arial Unicode MS" w:hAnsi="Times New Roman" w:cs="Times New Roman"/>
          <w:kern w:val="3"/>
          <w:sz w:val="24"/>
          <w:szCs w:val="24"/>
        </w:rPr>
        <w:t>Tablica</w:t>
      </w:r>
      <w:proofErr w:type="spellEnd"/>
      <w:r w:rsidRPr="00785875">
        <w:rPr>
          <w:rFonts w:ascii="Times New Roman" w:eastAsia="Arial Unicode MS" w:hAnsi="Times New Roman" w:cs="Times New Roman"/>
          <w:kern w:val="3"/>
          <w:sz w:val="24"/>
          <w:szCs w:val="24"/>
        </w:rPr>
        <w:t>: 1.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Mjesečne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godišnje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količine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školama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Osijeku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Slavonskom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>Brodu</w:t>
      </w:r>
      <w:proofErr w:type="spellEnd"/>
      <w:r w:rsidR="004B079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>te</w:t>
      </w:r>
      <w:proofErr w:type="spellEnd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>na</w:t>
      </w:r>
      <w:proofErr w:type="spellEnd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>meteorološkim</w:t>
      </w:r>
      <w:proofErr w:type="spellEnd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</w:t>
      </w:r>
      <w:proofErr w:type="spellStart"/>
      <w:r w:rsidR="005F38E8">
        <w:rPr>
          <w:rFonts w:ascii="Times New Roman" w:eastAsia="Arial Unicode MS" w:hAnsi="Times New Roman" w:cs="Times New Roman"/>
          <w:kern w:val="3"/>
          <w:sz w:val="24"/>
          <w:szCs w:val="24"/>
        </w:rPr>
        <w:t>postajam</w:t>
      </w:r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>a</w:t>
      </w:r>
      <w:proofErr w:type="spellEnd"/>
      <w:proofErr w:type="gramEnd"/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>tim</w:t>
      </w:r>
      <w:proofErr w:type="spellEnd"/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>gradovima</w:t>
      </w:r>
      <w:proofErr w:type="spellEnd"/>
      <w:r w:rsidR="004B529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2015. </w:t>
      </w:r>
    </w:p>
    <w:tbl>
      <w:tblPr>
        <w:tblStyle w:val="MediumGrid3-Accent3"/>
        <w:tblW w:w="0" w:type="auto"/>
        <w:tblLook w:val="04A0"/>
      </w:tblPr>
      <w:tblGrid>
        <w:gridCol w:w="1095"/>
        <w:gridCol w:w="622"/>
        <w:gridCol w:w="622"/>
        <w:gridCol w:w="621"/>
        <w:gridCol w:w="621"/>
        <w:gridCol w:w="719"/>
        <w:gridCol w:w="621"/>
        <w:gridCol w:w="621"/>
        <w:gridCol w:w="621"/>
        <w:gridCol w:w="621"/>
        <w:gridCol w:w="719"/>
        <w:gridCol w:w="621"/>
        <w:gridCol w:w="523"/>
        <w:gridCol w:w="975"/>
      </w:tblGrid>
      <w:tr w:rsidR="0085373F" w:rsidRPr="00330423" w:rsidTr="0085373F">
        <w:trPr>
          <w:cnfStyle w:val="100000000000"/>
        </w:trPr>
        <w:tc>
          <w:tcPr>
            <w:cnfStyle w:val="001000000000"/>
            <w:tcW w:w="786" w:type="dxa"/>
          </w:tcPr>
          <w:p w:rsidR="005F38E8" w:rsidRPr="00330423" w:rsidRDefault="00903879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304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Mjesec</w:t>
            </w:r>
            <w:proofErr w:type="spellEnd"/>
          </w:p>
          <w:p w:rsidR="00903879" w:rsidRPr="00330423" w:rsidRDefault="00903879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6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1.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2.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3.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4.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5.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6.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7.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8.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9.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10.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11.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r w:rsidRPr="00CE259E">
              <w:rPr>
                <w:rFonts w:ascii="Times New Roman" w:eastAsia="Arial Unicode MS" w:hAnsi="Times New Roman" w:cs="Times New Roman"/>
                <w:kern w:val="3"/>
              </w:rPr>
              <w:t>12.</w:t>
            </w:r>
          </w:p>
        </w:tc>
        <w:tc>
          <w:tcPr>
            <w:tcW w:w="787" w:type="dxa"/>
          </w:tcPr>
          <w:p w:rsidR="005F38E8" w:rsidRPr="00CE259E" w:rsidRDefault="005F38E8" w:rsidP="00903879">
            <w:pPr>
              <w:suppressAutoHyphens/>
              <w:autoSpaceDN w:val="0"/>
              <w:jc w:val="center"/>
              <w:textAlignment w:val="baseline"/>
              <w:cnfStyle w:val="100000000000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CE259E">
              <w:rPr>
                <w:rFonts w:ascii="Times New Roman" w:eastAsia="Arial Unicode MS" w:hAnsi="Times New Roman" w:cs="Times New Roman"/>
                <w:kern w:val="3"/>
              </w:rPr>
              <w:t>Ukupno</w:t>
            </w:r>
            <w:proofErr w:type="spellEnd"/>
          </w:p>
        </w:tc>
      </w:tr>
      <w:tr w:rsidR="0085373F" w:rsidRPr="00330423" w:rsidTr="0085373F">
        <w:trPr>
          <w:cnfStyle w:val="000000100000"/>
        </w:trPr>
        <w:tc>
          <w:tcPr>
            <w:cnfStyle w:val="001000000000"/>
            <w:tcW w:w="786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Škola</w:t>
            </w:r>
            <w:proofErr w:type="spellEnd"/>
          </w:p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Osijek</w:t>
            </w:r>
          </w:p>
        </w:tc>
        <w:tc>
          <w:tcPr>
            <w:tcW w:w="786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70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42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32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9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89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22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10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15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38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83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42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454</w:t>
            </w:r>
            <w:r w:rsidR="0085373F" w:rsidRPr="005F7D80">
              <w:rPr>
                <w:rFonts w:ascii="Times New Roman" w:eastAsia="Arial Unicode MS" w:hAnsi="Times New Roman" w:cs="Times New Roman"/>
                <w:b/>
                <w:kern w:val="3"/>
              </w:rPr>
              <w:t>,0</w:t>
            </w:r>
          </w:p>
        </w:tc>
      </w:tr>
      <w:tr w:rsidR="0085373F" w:rsidRPr="00330423" w:rsidTr="0085373F">
        <w:tc>
          <w:tcPr>
            <w:cnfStyle w:val="001000000000"/>
            <w:tcW w:w="786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Osijek-</w:t>
            </w:r>
          </w:p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Tvrđavica</w:t>
            </w:r>
            <w:proofErr w:type="spellEnd"/>
          </w:p>
        </w:tc>
        <w:tc>
          <w:tcPr>
            <w:tcW w:w="786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82,8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57,8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57,1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11,2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123,8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35,8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16,6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63,8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36,3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114,9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52,5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654,4</w:t>
            </w:r>
          </w:p>
        </w:tc>
      </w:tr>
      <w:tr w:rsidR="0085373F" w:rsidRPr="00330423" w:rsidTr="0085373F">
        <w:trPr>
          <w:cnfStyle w:val="000000100000"/>
        </w:trPr>
        <w:tc>
          <w:tcPr>
            <w:cnfStyle w:val="001000000000"/>
            <w:tcW w:w="786" w:type="dxa"/>
          </w:tcPr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Škola</w:t>
            </w:r>
            <w:proofErr w:type="spellEnd"/>
          </w:p>
          <w:p w:rsidR="005F38E8" w:rsidRPr="005F7D80" w:rsidRDefault="005F38E8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Sl. </w:t>
            </w:r>
            <w:proofErr w:type="spellStart"/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786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75,8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82,8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50,5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12,6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143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26,3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20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73,7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71,7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144,4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61,8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4,2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1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766,2</w:t>
            </w:r>
          </w:p>
        </w:tc>
      </w:tr>
      <w:tr w:rsidR="0085373F" w:rsidRPr="00330423" w:rsidTr="0085373F">
        <w:tc>
          <w:tcPr>
            <w:cnfStyle w:val="001000000000"/>
            <w:tcW w:w="786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Sl. </w:t>
            </w:r>
            <w:proofErr w:type="spellStart"/>
            <w:r w:rsidRPr="005F7D8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Brod</w:t>
            </w:r>
            <w:proofErr w:type="spellEnd"/>
          </w:p>
          <w:p w:rsidR="00903879" w:rsidRPr="005F7D80" w:rsidRDefault="00903879" w:rsidP="00903879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786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75,5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79,5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38,2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28,2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143,0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26,3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15,2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78,5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71,1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144,4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61,8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4,2</w:t>
            </w:r>
          </w:p>
        </w:tc>
        <w:tc>
          <w:tcPr>
            <w:tcW w:w="787" w:type="dxa"/>
          </w:tcPr>
          <w:p w:rsidR="005F38E8" w:rsidRPr="005F7D80" w:rsidRDefault="00903879" w:rsidP="00903879">
            <w:pPr>
              <w:suppressAutoHyphens/>
              <w:autoSpaceDN w:val="0"/>
              <w:jc w:val="center"/>
              <w:textAlignment w:val="baseline"/>
              <w:cnfStyle w:val="000000000000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5F7D80">
              <w:rPr>
                <w:rFonts w:ascii="Times New Roman" w:eastAsia="Arial Unicode MS" w:hAnsi="Times New Roman" w:cs="Times New Roman"/>
                <w:b/>
                <w:kern w:val="3"/>
              </w:rPr>
              <w:t>765,9</w:t>
            </w:r>
          </w:p>
        </w:tc>
      </w:tr>
    </w:tbl>
    <w:p w:rsidR="006F3C6F" w:rsidRPr="00785875" w:rsidRDefault="006F3C6F" w:rsidP="005F7D80">
      <w:pPr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785875" w:rsidRDefault="0024745D" w:rsidP="0034054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Iz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G</w:t>
      </w:r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rafikona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1. </w:t>
      </w:r>
      <w:proofErr w:type="spellStart"/>
      <w:proofErr w:type="gram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proofErr w:type="gramEnd"/>
      <w:r w:rsidR="008537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85373F">
        <w:rPr>
          <w:rFonts w:ascii="Times New Roman" w:eastAsia="Arial Unicode MS" w:hAnsi="Times New Roman" w:cs="Times New Roman"/>
          <w:kern w:val="3"/>
          <w:sz w:val="24"/>
          <w:szCs w:val="24"/>
        </w:rPr>
        <w:t>T</w:t>
      </w:r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ablice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1. </w:t>
      </w:r>
      <w:proofErr w:type="spellStart"/>
      <w:proofErr w:type="gram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v</w:t>
      </w:r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idljive</w:t>
      </w:r>
      <w:proofErr w:type="spellEnd"/>
      <w:proofErr w:type="gram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su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razlike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količini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između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Osijeka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Slavonskog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Broda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promatranom</w:t>
      </w:r>
      <w:proofErr w:type="spellEnd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razdoblju</w:t>
      </w:r>
      <w:proofErr w:type="spellEnd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(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siječanj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– </w:t>
      </w:r>
      <w:proofErr w:type="spellStart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>prosinac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2015.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g</w:t>
      </w:r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odine</w:t>
      </w:r>
      <w:proofErr w:type="spellEnd"/>
      <w:r w:rsidR="0034054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). </w:t>
      </w:r>
      <w:proofErr w:type="spellStart"/>
      <w:proofErr w:type="gramStart"/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>Uzroci</w:t>
      </w:r>
      <w:proofErr w:type="spellEnd"/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>relativno</w:t>
      </w:r>
      <w:proofErr w:type="spellEnd"/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>velike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razli</w:t>
      </w:r>
      <w:r w:rsidR="003263F7">
        <w:rPr>
          <w:rFonts w:ascii="Times New Roman" w:eastAsia="Arial Unicode MS" w:hAnsi="Times New Roman" w:cs="Times New Roman"/>
          <w:kern w:val="3"/>
          <w:sz w:val="24"/>
          <w:szCs w:val="24"/>
        </w:rPr>
        <w:t>ke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količini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između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ta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dva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grada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mogu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se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objasniti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njihovim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geografskim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položajem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  <w:proofErr w:type="gram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Naime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jedan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drugi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grad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svojim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položajem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pod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utjecajem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zračnih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masa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koje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dolaze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zapada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Prostor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istočne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Hr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vatske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je pod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utjecajem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Genovskih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ciklona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čiji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jedan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od</w:t>
      </w:r>
      <w:proofErr w:type="spellEnd"/>
      <w:proofErr w:type="gram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tri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ogranaka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prelazi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preko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prostor</w:t>
      </w:r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>a</w:t>
      </w:r>
      <w:proofErr w:type="spellEnd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>panonske</w:t>
      </w:r>
      <w:proofErr w:type="spellEnd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>Hrvatske</w:t>
      </w:r>
      <w:proofErr w:type="spellEnd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>prema</w:t>
      </w:r>
      <w:proofErr w:type="spellEnd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903879">
        <w:rPr>
          <w:rFonts w:ascii="Times New Roman" w:eastAsia="Arial Unicode MS" w:hAnsi="Times New Roman" w:cs="Times New Roman"/>
          <w:kern w:val="3"/>
          <w:sz w:val="24"/>
          <w:szCs w:val="24"/>
        </w:rPr>
        <w:t>Srbiji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Rumunjskoj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Kao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dokaz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toj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tvrdnji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navodimo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proporcionalno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povećanje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odnosno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smanjivanje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grada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Kad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se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poveća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količina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Slavonskom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Brodu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također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dolazi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do </w:t>
      </w:r>
      <w:proofErr w:type="spellStart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>povećanja</w:t>
      </w:r>
      <w:proofErr w:type="spellEnd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>količine</w:t>
      </w:r>
      <w:proofErr w:type="spellEnd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8B38F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Osijeku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odnosno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kad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se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smanjuje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količina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Slavonskom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Brodu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isto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se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da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primijetiti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Osijeku</w:t>
      </w:r>
      <w:proofErr w:type="spellEnd"/>
      <w:r w:rsidR="004C1C51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Tako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su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oba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grada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svibanj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D46175">
        <w:rPr>
          <w:rFonts w:ascii="Times New Roman" w:eastAsia="Arial Unicode MS" w:hAnsi="Times New Roman" w:cs="Times New Roman"/>
          <w:kern w:val="3"/>
          <w:sz w:val="24"/>
          <w:szCs w:val="24"/>
        </w:rPr>
        <w:t>listopad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najvećom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mjesečnom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količinom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a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travanj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srpanj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 </w:t>
      </w:r>
      <w:proofErr w:type="spellStart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naj</w:t>
      </w:r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m</w:t>
      </w:r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anjom</w:t>
      </w:r>
      <w:proofErr w:type="spellEnd"/>
      <w:r w:rsidR="00436524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  <w:proofErr w:type="gramEnd"/>
    </w:p>
    <w:p w:rsidR="00AF51ED" w:rsidRPr="00785875" w:rsidRDefault="00436524" w:rsidP="0034054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obzirom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činjenicu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većina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dolazi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sa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zapada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Slavonski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Brod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je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prvi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udaru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vlažnih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zračnih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masa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te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količine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oborine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prema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istoku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a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povećanjem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kontinentalnosti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smanjuju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Kao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posljedica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takvog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položaja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dv</w:t>
      </w:r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aju</w:t>
      </w:r>
      <w:proofErr w:type="spellEnd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gradova</w:t>
      </w:r>
      <w:proofErr w:type="spellEnd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Osijek </w:t>
      </w:r>
      <w:proofErr w:type="spellStart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uvijek</w:t>
      </w:r>
      <w:proofErr w:type="spellEnd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 w:rsidR="0032298B">
        <w:rPr>
          <w:rFonts w:ascii="Times New Roman" w:eastAsia="Arial Unicode MS" w:hAnsi="Times New Roman" w:cs="Times New Roman"/>
          <w:kern w:val="3"/>
          <w:sz w:val="24"/>
          <w:szCs w:val="24"/>
        </w:rPr>
        <w:t>ima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manju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količinu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lastRenderedPageBreak/>
        <w:t>oborine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  <w:proofErr w:type="gramEnd"/>
    </w:p>
    <w:p w:rsidR="00A45619" w:rsidRDefault="00A45619" w:rsidP="00A4561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45619" w:rsidRDefault="00A45619" w:rsidP="00A4561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4905375" cy="2995613"/>
            <wp:effectExtent l="0" t="0" r="9525" b="1460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619" w:rsidRDefault="001465E9" w:rsidP="00E331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Usp</w:t>
      </w:r>
      <w:r w:rsidR="00CD3F58">
        <w:rPr>
          <w:rFonts w:ascii="Times New Roman" w:hAnsi="Times New Roman" w:cs="Times New Roman"/>
          <w:sz w:val="24"/>
          <w:szCs w:val="24"/>
        </w:rPr>
        <w:t>redba</w:t>
      </w:r>
      <w:proofErr w:type="spellEnd"/>
      <w:r w:rsidR="00CD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F58"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 w:rsidR="00CD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F58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="00CD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F58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8F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r w:rsidR="002A135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51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51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="002A1351">
        <w:rPr>
          <w:rFonts w:ascii="Times New Roman" w:hAnsi="Times New Roman" w:cs="Times New Roman"/>
          <w:sz w:val="24"/>
          <w:szCs w:val="24"/>
        </w:rPr>
        <w:t xml:space="preserve"> DHMZ-a</w:t>
      </w:r>
    </w:p>
    <w:p w:rsidR="000A6555" w:rsidRDefault="001465E9" w:rsidP="00E33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5E9">
        <w:rPr>
          <w:rFonts w:ascii="Times New Roman" w:hAnsi="Times New Roman" w:cs="Times New Roman"/>
          <w:sz w:val="24"/>
          <w:szCs w:val="24"/>
        </w:rPr>
        <w:t>Uspoređujući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obor</w:t>
      </w:r>
      <w:r w:rsidR="0024745D">
        <w:rPr>
          <w:rFonts w:ascii="Times New Roman" w:hAnsi="Times New Roman" w:cs="Times New Roman"/>
          <w:sz w:val="24"/>
          <w:szCs w:val="24"/>
        </w:rPr>
        <w:t>i</w:t>
      </w:r>
      <w:r w:rsidR="0062613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šk</w:t>
      </w:r>
      <w:r w:rsidR="008B38FB">
        <w:rPr>
          <w:rFonts w:ascii="Times New Roman" w:hAnsi="Times New Roman" w:cs="Times New Roman"/>
          <w:sz w:val="24"/>
          <w:szCs w:val="24"/>
        </w:rPr>
        <w:t>ola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8F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DHMZ</w:t>
      </w:r>
      <w:r w:rsidRPr="001465E9">
        <w:rPr>
          <w:rFonts w:ascii="Times New Roman" w:hAnsi="Times New Roman" w:cs="Times New Roman"/>
          <w:sz w:val="24"/>
          <w:szCs w:val="24"/>
        </w:rPr>
        <w:t xml:space="preserve">–a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zaključili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Antuna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Mihanovića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podudaraju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služ</w:t>
      </w:r>
      <w:r w:rsidR="008B38FB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r w:rsidR="008B38FB">
        <w:rPr>
          <w:rFonts w:ascii="Times New Roman" w:hAnsi="Times New Roman" w:cs="Times New Roman"/>
          <w:sz w:val="24"/>
          <w:szCs w:val="24"/>
        </w:rPr>
        <w:t xml:space="preserve">Osijek -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Tvđa</w:t>
      </w:r>
      <w:r w:rsidR="008B38FB">
        <w:rPr>
          <w:rFonts w:ascii="Times New Roman" w:hAnsi="Times New Roman" w:cs="Times New Roman"/>
          <w:sz w:val="24"/>
          <w:szCs w:val="24"/>
        </w:rPr>
        <w:t>vica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Najveća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zabilježena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svibnju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postaja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89 mm, a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123 mm),</w:t>
      </w:r>
      <w:r w:rsidR="0033565C">
        <w:rPr>
          <w:rFonts w:ascii="Times New Roman" w:hAnsi="Times New Roman" w:cs="Times New Roman"/>
          <w:sz w:val="24"/>
          <w:szCs w:val="24"/>
        </w:rPr>
        <w:t xml:space="preserve"> u</w:t>
      </w:r>
      <w:r w:rsidR="0024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kolovozu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postaja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15 mm,</w:t>
      </w:r>
      <w:r w:rsidR="002474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63,8 mm</w:t>
      </w:r>
      <w:r w:rsidR="008C00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rujnu</w:t>
      </w:r>
      <w:proofErr w:type="spellEnd"/>
      <w:r w:rsidR="00247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postaja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38 mm, a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63 mm). </w:t>
      </w:r>
      <w:proofErr w:type="spellStart"/>
      <w:proofErr w:type="gramStart"/>
      <w:r w:rsidRPr="001465E9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I.G.Kovačić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identični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5E9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takvog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višestruki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kišomjer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blizini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5C">
        <w:rPr>
          <w:rFonts w:ascii="Times New Roman" w:hAnsi="Times New Roman" w:cs="Times New Roman"/>
          <w:sz w:val="24"/>
          <w:szCs w:val="24"/>
        </w:rPr>
        <w:t>neprecizni</w:t>
      </w:r>
      <w:proofErr w:type="spellEnd"/>
      <w:r w:rsidR="003356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565C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="003356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65C">
        <w:rPr>
          <w:rFonts w:ascii="Times New Roman" w:hAnsi="Times New Roman" w:cs="Times New Roman"/>
          <w:sz w:val="24"/>
          <w:szCs w:val="24"/>
        </w:rPr>
        <w:t>pog</w:t>
      </w:r>
      <w:r w:rsidR="008C0002">
        <w:rPr>
          <w:rFonts w:ascii="Times New Roman" w:hAnsi="Times New Roman" w:cs="Times New Roman"/>
          <w:sz w:val="24"/>
          <w:szCs w:val="24"/>
        </w:rPr>
        <w:t>reške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očitavanju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unosu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00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8C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02">
        <w:rPr>
          <w:rFonts w:ascii="Times New Roman" w:hAnsi="Times New Roman" w:cs="Times New Roman"/>
          <w:sz w:val="24"/>
          <w:szCs w:val="24"/>
        </w:rPr>
        <w:t>nism</w:t>
      </w:r>
      <w:r w:rsidR="0032298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evidentirali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2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6261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oborinom</w:t>
      </w:r>
      <w:proofErr w:type="spellEnd"/>
      <w:r w:rsidR="008C0002">
        <w:rPr>
          <w:rFonts w:ascii="Times New Roman" w:hAnsi="Times New Roman" w:cs="Times New Roman"/>
          <w:sz w:val="24"/>
          <w:szCs w:val="24"/>
        </w:rPr>
        <w:t>).</w:t>
      </w:r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5E9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uočen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E9">
        <w:rPr>
          <w:rFonts w:ascii="Times New Roman" w:hAnsi="Times New Roman" w:cs="Times New Roman"/>
          <w:sz w:val="24"/>
          <w:szCs w:val="24"/>
        </w:rPr>
        <w:t>istražiti</w:t>
      </w:r>
      <w:proofErr w:type="spellEnd"/>
      <w:r w:rsidRPr="001465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65C" w:rsidRDefault="000A6555" w:rsidP="000A65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62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2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Osijeka</w:t>
      </w:r>
      <w:proofErr w:type="spellEnd"/>
      <w:r w:rsidR="0062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30">
        <w:rPr>
          <w:rFonts w:ascii="Times New Roman" w:hAnsi="Times New Roman" w:cs="Times New Roman"/>
          <w:sz w:val="24"/>
          <w:szCs w:val="24"/>
        </w:rPr>
        <w:t>Tvrđavice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Osijeka</w:t>
      </w:r>
      <w:proofErr w:type="spellEnd"/>
    </w:p>
    <w:tbl>
      <w:tblPr>
        <w:tblStyle w:val="MediumGrid1-Accent3"/>
        <w:tblW w:w="9537" w:type="dxa"/>
        <w:tblInd w:w="132" w:type="dxa"/>
        <w:tblLayout w:type="fixed"/>
        <w:tblLook w:val="04A0"/>
      </w:tblPr>
      <w:tblGrid>
        <w:gridCol w:w="1110"/>
        <w:gridCol w:w="631"/>
        <w:gridCol w:w="567"/>
        <w:gridCol w:w="567"/>
        <w:gridCol w:w="708"/>
        <w:gridCol w:w="709"/>
        <w:gridCol w:w="567"/>
        <w:gridCol w:w="567"/>
        <w:gridCol w:w="567"/>
        <w:gridCol w:w="567"/>
        <w:gridCol w:w="709"/>
        <w:gridCol w:w="709"/>
        <w:gridCol w:w="567"/>
        <w:gridCol w:w="992"/>
      </w:tblGrid>
      <w:tr w:rsidR="002426EF" w:rsidRPr="000A6555" w:rsidTr="001279FA">
        <w:trPr>
          <w:cnfStyle w:val="100000000000"/>
          <w:trHeight w:val="20"/>
        </w:trPr>
        <w:tc>
          <w:tcPr>
            <w:cnfStyle w:val="001000000000"/>
            <w:tcW w:w="1110" w:type="dxa"/>
          </w:tcPr>
          <w:p w:rsidR="0033565C" w:rsidRPr="0024745D" w:rsidRDefault="0024745D" w:rsidP="00785875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Mjeseci</w:t>
            </w:r>
            <w:proofErr w:type="spellEnd"/>
            <w:r w:rsidR="0033565C" w:rsidRPr="0024745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1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</w:tcPr>
          <w:p w:rsidR="0033565C" w:rsidRPr="0024745D" w:rsidRDefault="0033565C" w:rsidP="00785875">
            <w:pPr>
              <w:cnfStyle w:val="100000000000"/>
              <w:rPr>
                <w:rFonts w:ascii="Times New Roman" w:hAnsi="Times New Roman" w:cs="Times New Roman"/>
              </w:rPr>
            </w:pPr>
            <w:r w:rsidRPr="002474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</w:tcPr>
          <w:p w:rsidR="0033565C" w:rsidRPr="002426EF" w:rsidRDefault="0033565C" w:rsidP="00785875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426EF">
              <w:rPr>
                <w:rFonts w:ascii="Times New Roman" w:hAnsi="Times New Roman" w:cs="Times New Roman"/>
                <w:b w:val="0"/>
              </w:rPr>
              <w:t>Ukupno</w:t>
            </w:r>
            <w:proofErr w:type="spellEnd"/>
          </w:p>
        </w:tc>
      </w:tr>
      <w:tr w:rsidR="002426EF" w:rsidRPr="000A6555" w:rsidTr="001279FA">
        <w:trPr>
          <w:cnfStyle w:val="000000100000"/>
          <w:trHeight w:val="20"/>
        </w:trPr>
        <w:tc>
          <w:tcPr>
            <w:cnfStyle w:val="001000000000"/>
            <w:tcW w:w="1110" w:type="dxa"/>
          </w:tcPr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  <w:r w:rsidRPr="0024745D">
              <w:rPr>
                <w:rFonts w:ascii="Times New Roman" w:hAnsi="Times New Roman" w:cs="Times New Roman"/>
                <w:b w:val="0"/>
              </w:rPr>
              <w:t>Osijek</w:t>
            </w:r>
          </w:p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4745D">
              <w:rPr>
                <w:rFonts w:ascii="Times New Roman" w:hAnsi="Times New Roman" w:cs="Times New Roman"/>
                <w:b w:val="0"/>
              </w:rPr>
              <w:t>Tvrđavica</w:t>
            </w:r>
            <w:proofErr w:type="spellEnd"/>
          </w:p>
          <w:p w:rsidR="000A6555" w:rsidRPr="0024745D" w:rsidRDefault="000A6555" w:rsidP="007858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1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8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654,4</w:t>
            </w:r>
          </w:p>
        </w:tc>
      </w:tr>
      <w:tr w:rsidR="002426EF" w:rsidRPr="000A6555" w:rsidTr="001279FA">
        <w:trPr>
          <w:trHeight w:val="20"/>
        </w:trPr>
        <w:tc>
          <w:tcPr>
            <w:cnfStyle w:val="001000000000"/>
            <w:tcW w:w="1110" w:type="dxa"/>
          </w:tcPr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4745D">
              <w:rPr>
                <w:rFonts w:ascii="Times New Roman" w:hAnsi="Times New Roman" w:cs="Times New Roman"/>
                <w:b w:val="0"/>
              </w:rPr>
              <w:t>Škola</w:t>
            </w:r>
            <w:proofErr w:type="spellEnd"/>
          </w:p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  <w:r w:rsidRPr="0024745D">
              <w:rPr>
                <w:rFonts w:ascii="Times New Roman" w:hAnsi="Times New Roman" w:cs="Times New Roman"/>
                <w:b w:val="0"/>
              </w:rPr>
              <w:t>Osijek</w:t>
            </w:r>
          </w:p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1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3565C" w:rsidRPr="00E3317F" w:rsidRDefault="0033565C" w:rsidP="002426EF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</w:tr>
      <w:tr w:rsidR="002426EF" w:rsidRPr="000A6555" w:rsidTr="001279FA">
        <w:trPr>
          <w:cnfStyle w:val="000000100000"/>
          <w:trHeight w:val="20"/>
        </w:trPr>
        <w:tc>
          <w:tcPr>
            <w:cnfStyle w:val="001000000000"/>
            <w:tcW w:w="1110" w:type="dxa"/>
          </w:tcPr>
          <w:p w:rsidR="0033565C" w:rsidRPr="001279FA" w:rsidRDefault="001279FA" w:rsidP="0078587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="0033565C" w:rsidRPr="001279FA">
              <w:rPr>
                <w:rFonts w:ascii="Times New Roman" w:hAnsi="Times New Roman" w:cs="Times New Roman"/>
                <w:b w:val="0"/>
                <w:sz w:val="20"/>
                <w:szCs w:val="20"/>
              </w:rPr>
              <w:t>HMZ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</w:p>
          <w:p w:rsidR="0033565C" w:rsidRPr="001279FA" w:rsidRDefault="0033565C" w:rsidP="0078587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9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Osijek </w:t>
            </w:r>
            <w:proofErr w:type="spellStart"/>
            <w:r w:rsidRPr="001279FA">
              <w:rPr>
                <w:rFonts w:ascii="Times New Roman" w:hAnsi="Times New Roman" w:cs="Times New Roman"/>
                <w:b w:val="0"/>
                <w:sz w:val="20"/>
                <w:szCs w:val="20"/>
              </w:rPr>
              <w:t>škola</w:t>
            </w:r>
            <w:proofErr w:type="spellEnd"/>
          </w:p>
          <w:p w:rsidR="0033565C" w:rsidRPr="0024745D" w:rsidRDefault="0033565C" w:rsidP="007858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1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08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34,8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48,8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31,9</w:t>
            </w:r>
          </w:p>
        </w:tc>
        <w:tc>
          <w:tcPr>
            <w:tcW w:w="709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92" w:type="dxa"/>
          </w:tcPr>
          <w:p w:rsidR="0033565C" w:rsidRPr="00E3317F" w:rsidRDefault="0033565C" w:rsidP="002426EF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7F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</w:tr>
    </w:tbl>
    <w:p w:rsidR="0033565C" w:rsidRDefault="0033565C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555" w:rsidRPr="000A6555" w:rsidRDefault="00425296" w:rsidP="00425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A6555">
        <w:rPr>
          <w:rFonts w:ascii="Times New Roman" w:hAnsi="Times New Roman" w:cs="Times New Roman"/>
          <w:sz w:val="24"/>
          <w:szCs w:val="24"/>
        </w:rPr>
        <w:t>ablice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0A6555">
        <w:rPr>
          <w:rFonts w:ascii="Times New Roman" w:hAnsi="Times New Roman" w:cs="Times New Roman"/>
          <w:sz w:val="24"/>
          <w:szCs w:val="24"/>
        </w:rPr>
        <w:t>vide</w:t>
      </w:r>
      <w:proofErr w:type="gramEnd"/>
      <w:r w:rsidR="000A655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spomenute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</w:t>
      </w:r>
      <w:r w:rsidR="000A655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uočljive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toga</w:t>
      </w:r>
      <w:r w:rsidR="00890194">
        <w:rPr>
          <w:rFonts w:ascii="Times New Roman" w:hAnsi="Times New Roman" w:cs="Times New Roman"/>
          <w:sz w:val="24"/>
          <w:szCs w:val="24"/>
        </w:rPr>
        <w:t>,</w:t>
      </w:r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890194">
        <w:rPr>
          <w:rFonts w:ascii="Times New Roman" w:hAnsi="Times New Roman" w:cs="Times New Roman"/>
          <w:sz w:val="24"/>
          <w:szCs w:val="24"/>
        </w:rPr>
        <w:t>,</w:t>
      </w:r>
      <w:r w:rsidR="000A6555">
        <w:rPr>
          <w:rFonts w:ascii="Times New Roman" w:hAnsi="Times New Roman" w:cs="Times New Roman"/>
          <w:sz w:val="24"/>
          <w:szCs w:val="24"/>
        </w:rPr>
        <w:t xml:space="preserve"> GLOBE </w:t>
      </w:r>
      <w:proofErr w:type="spellStart"/>
      <w:r w:rsidR="00890194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="00890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1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890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19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90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194">
        <w:rPr>
          <w:rFonts w:ascii="Times New Roman" w:hAnsi="Times New Roman" w:cs="Times New Roman"/>
          <w:sz w:val="24"/>
          <w:szCs w:val="24"/>
        </w:rPr>
        <w:t>uspoređeni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55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="00890194">
        <w:rPr>
          <w:rFonts w:ascii="Times New Roman" w:hAnsi="Times New Roman" w:cs="Times New Roman"/>
          <w:sz w:val="24"/>
          <w:szCs w:val="24"/>
        </w:rPr>
        <w:t>,</w:t>
      </w:r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GLOBE</w:t>
      </w:r>
      <w:r w:rsidR="000A6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55">
        <w:rPr>
          <w:rFonts w:ascii="Times New Roman" w:hAnsi="Times New Roman" w:cs="Times New Roman"/>
          <w:sz w:val="24"/>
          <w:szCs w:val="24"/>
        </w:rPr>
        <w:t>mjerenja</w:t>
      </w:r>
      <w:proofErr w:type="spellEnd"/>
      <w:r w:rsidR="000A6555">
        <w:rPr>
          <w:rFonts w:ascii="Times New Roman" w:hAnsi="Times New Roman" w:cs="Times New Roman"/>
          <w:sz w:val="24"/>
          <w:szCs w:val="24"/>
        </w:rPr>
        <w:t>.</w:t>
      </w:r>
    </w:p>
    <w:p w:rsidR="001465E9" w:rsidRDefault="001465E9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5E9" w:rsidRDefault="001465E9" w:rsidP="00146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0000" cy="2743200"/>
            <wp:effectExtent l="0" t="0" r="25400" b="1905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65E9" w:rsidRDefault="001465E9" w:rsidP="004B5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</w:t>
      </w:r>
      <w:r w:rsidR="0063080A">
        <w:rPr>
          <w:rFonts w:ascii="Times New Roman" w:hAnsi="Times New Roman" w:cs="Times New Roman"/>
          <w:sz w:val="24"/>
          <w:szCs w:val="24"/>
        </w:rPr>
        <w:t>afikon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oborinom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>
        <w:rPr>
          <w:rFonts w:ascii="Times New Roman" w:hAnsi="Times New Roman" w:cs="Times New Roman"/>
          <w:sz w:val="24"/>
          <w:szCs w:val="24"/>
        </w:rPr>
        <w:t xml:space="preserve">  mm u školama u Osijeku i</w:t>
      </w:r>
      <w:r w:rsidR="00890194">
        <w:rPr>
          <w:rFonts w:ascii="Times New Roman" w:hAnsi="Times New Roman" w:cs="Times New Roman"/>
          <w:sz w:val="24"/>
          <w:szCs w:val="24"/>
        </w:rPr>
        <w:t xml:space="preserve"> Slavonskom Brodu u 2015. </w:t>
      </w:r>
      <w:bookmarkStart w:id="0" w:name="_GoBack"/>
      <w:bookmarkEnd w:id="0"/>
    </w:p>
    <w:p w:rsidR="001465E9" w:rsidRDefault="001465E9" w:rsidP="004B52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351" w:rsidRPr="002A1351" w:rsidRDefault="008B38FB" w:rsidP="002A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080A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3080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A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6308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 w:rsidR="002A1351" w:rsidRPr="002A1351">
        <w:rPr>
          <w:rFonts w:ascii="Times New Roman" w:hAnsi="Times New Roman" w:cs="Times New Roman"/>
          <w:sz w:val="24"/>
          <w:szCs w:val="24"/>
        </w:rPr>
        <w:t xml:space="preserve"> mm važan je za rast biljnog pokrova kao i za hidroenergetski potencijal rijeka. </w:t>
      </w:r>
      <w:proofErr w:type="gramStart"/>
      <w:r w:rsidR="002A1351" w:rsidRPr="002A1351">
        <w:rPr>
          <w:rFonts w:ascii="Times New Roman" w:hAnsi="Times New Roman" w:cs="Times New Roman"/>
          <w:sz w:val="24"/>
          <w:szCs w:val="24"/>
        </w:rPr>
        <w:t>Povoljnije je ako su oborine ravnomjerno raspoređene tijekom godine nego ako je veći dio koncentriran u relativno kratkom razdoblju.</w:t>
      </w:r>
      <w:proofErr w:type="gram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351" w:rsidRPr="002A1351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A1351" w:rsidRPr="002A135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51" w:rsidRPr="002A1351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A1351" w:rsidRPr="002A1351">
        <w:rPr>
          <w:rFonts w:ascii="Times New Roman" w:hAnsi="Times New Roman" w:cs="Times New Roman"/>
          <w:sz w:val="24"/>
          <w:szCs w:val="24"/>
        </w:rPr>
        <w:t>izostaju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A1351" w:rsidRPr="002A1351">
        <w:rPr>
          <w:rFonts w:ascii="Times New Roman" w:hAnsi="Times New Roman" w:cs="Times New Roman"/>
          <w:sz w:val="24"/>
          <w:szCs w:val="24"/>
        </w:rPr>
        <w:t>vegetacijskom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351" w:rsidRPr="002A1351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2A1351" w:rsidRPr="002A13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5E9" w:rsidRDefault="002A1351" w:rsidP="00E5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351">
        <w:rPr>
          <w:rFonts w:ascii="Times New Roman" w:hAnsi="Times New Roman" w:cs="Times New Roman"/>
          <w:sz w:val="24"/>
          <w:szCs w:val="24"/>
        </w:rPr>
        <w:t>Uspređujući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mjes</w:t>
      </w:r>
      <w:r w:rsidR="002934B5">
        <w:rPr>
          <w:rFonts w:ascii="Times New Roman" w:hAnsi="Times New Roman" w:cs="Times New Roman"/>
          <w:sz w:val="24"/>
          <w:szCs w:val="24"/>
        </w:rPr>
        <w:t>ečni</w:t>
      </w:r>
      <w:proofErr w:type="spellEnd"/>
      <w:r w:rsidR="0029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B5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29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B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29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34B5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2934B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934B5">
        <w:rPr>
          <w:rFonts w:ascii="Times New Roman" w:hAnsi="Times New Roman" w:cs="Times New Roman"/>
          <w:sz w:val="24"/>
          <w:szCs w:val="24"/>
        </w:rPr>
        <w:t>oborinom</w:t>
      </w:r>
      <w:proofErr w:type="spellEnd"/>
      <w:r w:rsidR="002934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≥1</m:t>
        </m:r>
      </m:oMath>
      <w:r w:rsidRPr="002A1351">
        <w:rPr>
          <w:rFonts w:ascii="Times New Roman" w:hAnsi="Times New Roman" w:cs="Times New Roman"/>
          <w:sz w:val="24"/>
          <w:szCs w:val="24"/>
        </w:rPr>
        <w:t xml:space="preserve"> mm s mjesečnom količinom oborine zaključili smo da se oni najčešće podudaraju, iako postoje i mala odstupanja koja su vidljiva npr. </w:t>
      </w:r>
      <w:proofErr w:type="gramStart"/>
      <w:r w:rsidRPr="002A135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siječnju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količinu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promatranih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351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A1351">
        <w:rPr>
          <w:rFonts w:ascii="Times New Roman" w:hAnsi="Times New Roman" w:cs="Times New Roman"/>
          <w:sz w:val="24"/>
          <w:szCs w:val="24"/>
        </w:rPr>
        <w:t>.</w:t>
      </w:r>
    </w:p>
    <w:p w:rsidR="00FF5D7A" w:rsidRDefault="00FF5D7A" w:rsidP="00E5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2015.</w:t>
      </w:r>
      <w:proofErr w:type="gram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8F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višegodišnje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r w:rsidR="002934B5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DHMZ.</w:t>
      </w:r>
    </w:p>
    <w:p w:rsidR="00FF5D7A" w:rsidRDefault="004F713F" w:rsidP="00E5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postotcima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(1961.-1990.)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Usporedba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višegodišnjim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52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63% (</w:t>
      </w:r>
      <w:proofErr w:type="spellStart"/>
      <w:r>
        <w:rPr>
          <w:rFonts w:ascii="Times New Roman" w:hAnsi="Times New Roman" w:cs="Times New Roman"/>
          <w:sz w:val="24"/>
          <w:szCs w:val="24"/>
        </w:rPr>
        <w:t>Pazin</w:t>
      </w:r>
      <w:proofErr w:type="spellEnd"/>
      <w:r>
        <w:rPr>
          <w:rFonts w:ascii="Times New Roman" w:hAnsi="Times New Roman" w:cs="Times New Roman"/>
          <w:sz w:val="24"/>
          <w:szCs w:val="24"/>
        </w:rPr>
        <w:t>) do 125%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Komiža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B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spomenutog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13F" w:rsidRPr="00A81B43" w:rsidRDefault="004F713F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9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sjevernog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887" w:rsidRDefault="00E85887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875" w:rsidRDefault="00E85887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C81">
        <w:rPr>
          <w:rFonts w:ascii="Times New Roman" w:hAnsi="Times New Roman" w:cs="Times New Roman"/>
          <w:sz w:val="24"/>
          <w:szCs w:val="24"/>
        </w:rPr>
        <w:t xml:space="preserve"> </w:t>
      </w:r>
      <w:r w:rsidR="00AF51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0C81" w:rsidRDefault="00A00C81" w:rsidP="00785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00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9915" cy="442023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5E9" w:rsidRDefault="002A1351" w:rsidP="002A13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DHMZ-a</w:t>
      </w:r>
    </w:p>
    <w:p w:rsidR="00C07836" w:rsidRDefault="00C07836" w:rsidP="00A7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90" w:rsidRDefault="004B5290" w:rsidP="00A7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90" w:rsidRDefault="004B5290" w:rsidP="00A7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6" w:rsidRPr="00FB2A90" w:rsidRDefault="0032298B" w:rsidP="00C0783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Zaključci</w:t>
      </w:r>
      <w:proofErr w:type="spellEnd"/>
    </w:p>
    <w:p w:rsidR="00C07836" w:rsidRDefault="00C07836" w:rsidP="00C07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r w:rsidR="00B416E2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B4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E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B416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16E2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="00B4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E2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="00B416E2">
        <w:rPr>
          <w:rFonts w:ascii="Times New Roman" w:hAnsi="Times New Roman" w:cs="Times New Roman"/>
          <w:sz w:val="24"/>
          <w:szCs w:val="24"/>
        </w:rPr>
        <w:t>:</w:t>
      </w:r>
    </w:p>
    <w:p w:rsidR="00FB2A90" w:rsidRDefault="00C07836" w:rsidP="00C078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Geografski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kotlini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omeđen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otočnim</w:t>
      </w:r>
      <w:proofErr w:type="spellEnd"/>
      <w:r w:rsidR="0032298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2298B">
        <w:rPr>
          <w:rFonts w:ascii="Times New Roman" w:hAnsi="Times New Roman" w:cs="Times New Roman"/>
          <w:sz w:val="24"/>
          <w:szCs w:val="24"/>
        </w:rPr>
        <w:t>gorjem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B2A90">
        <w:rPr>
          <w:rFonts w:ascii="Times New Roman" w:hAnsi="Times New Roman" w:cs="Times New Roman"/>
          <w:sz w:val="24"/>
          <w:szCs w:val="24"/>
        </w:rPr>
        <w:t>ridonosi</w:t>
      </w:r>
      <w:proofErr w:type="spellEnd"/>
      <w:r w:rsidR="00F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90">
        <w:rPr>
          <w:rFonts w:ascii="Times New Roman" w:hAnsi="Times New Roman" w:cs="Times New Roman"/>
          <w:sz w:val="24"/>
          <w:szCs w:val="24"/>
        </w:rPr>
        <w:t>većoj</w:t>
      </w:r>
      <w:proofErr w:type="spellEnd"/>
      <w:r w:rsidR="00F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90"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 w:rsidR="00F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90"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 w:rsidR="00FB2A90">
        <w:rPr>
          <w:rFonts w:ascii="Times New Roman" w:hAnsi="Times New Roman" w:cs="Times New Roman"/>
          <w:sz w:val="24"/>
          <w:szCs w:val="24"/>
        </w:rPr>
        <w:t>.</w:t>
      </w:r>
    </w:p>
    <w:p w:rsidR="00FB2A90" w:rsidRPr="0082651C" w:rsidRDefault="00FB2A90" w:rsidP="0082651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krećući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kontinetalnosti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(</w:t>
      </w:r>
      <w:r w:rsidRPr="0082651C">
        <w:rPr>
          <w:rFonts w:ascii="Times New Roman" w:hAnsi="Times New Roman" w:cs="Times New Roman"/>
          <w:sz w:val="24"/>
          <w:szCs w:val="24"/>
        </w:rPr>
        <w:t xml:space="preserve">Zagreb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godišnj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negdje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900 mm, a Osijek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600 mm </w:t>
      </w:r>
      <w:proofErr w:type="spellStart"/>
      <w:r w:rsidRPr="0082651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82651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07836" w:rsidRDefault="00C07836" w:rsidP="00C078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Neujednačene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utjecajem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zračn</w:t>
      </w:r>
      <w:r w:rsidR="0082651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51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zapada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Genovskih</w:t>
      </w:r>
      <w:proofErr w:type="spellEnd"/>
      <w:r w:rsidR="0082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1C">
        <w:rPr>
          <w:rFonts w:ascii="Times New Roman" w:hAnsi="Times New Roman" w:cs="Times New Roman"/>
          <w:sz w:val="24"/>
          <w:szCs w:val="24"/>
        </w:rPr>
        <w:t>ciklona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416E2" w:rsidRDefault="00B416E2" w:rsidP="00B4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</w:t>
      </w:r>
      <w:r w:rsidR="00F95F08">
        <w:rPr>
          <w:rFonts w:ascii="Times New Roman" w:hAnsi="Times New Roman" w:cs="Times New Roman"/>
          <w:sz w:val="24"/>
          <w:szCs w:val="24"/>
        </w:rPr>
        <w:t>zuju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08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08">
        <w:rPr>
          <w:rFonts w:ascii="Times New Roman" w:hAnsi="Times New Roman" w:cs="Times New Roman"/>
          <w:sz w:val="24"/>
          <w:szCs w:val="24"/>
        </w:rPr>
        <w:t>sličnosti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>:</w:t>
      </w:r>
    </w:p>
    <w:p w:rsidR="00F95F08" w:rsidRDefault="00F95F08" w:rsidP="00F95F0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primijetiti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svibanj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FB">
        <w:rPr>
          <w:rFonts w:ascii="Times New Roman" w:hAnsi="Times New Roman" w:cs="Times New Roman"/>
          <w:sz w:val="24"/>
          <w:szCs w:val="24"/>
        </w:rPr>
        <w:t>listopad</w:t>
      </w:r>
      <w:proofErr w:type="spellEnd"/>
      <w:r w:rsidR="008B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najvećo</w:t>
      </w:r>
      <w:r w:rsidR="00802217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F08" w:rsidRDefault="00F95F08" w:rsidP="00F95F0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primjećeno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kišnih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802217">
        <w:rPr>
          <w:rFonts w:ascii="Times New Roman" w:hAnsi="Times New Roman" w:cs="Times New Roman"/>
          <w:sz w:val="24"/>
          <w:szCs w:val="24"/>
        </w:rPr>
        <w:t>.</w:t>
      </w:r>
    </w:p>
    <w:p w:rsidR="00F95F08" w:rsidRDefault="00F37EC4" w:rsidP="00F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95F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0D8D">
        <w:rPr>
          <w:rFonts w:ascii="Times New Roman" w:hAnsi="Times New Roman" w:cs="Times New Roman"/>
          <w:sz w:val="24"/>
          <w:szCs w:val="24"/>
        </w:rPr>
        <w:t>Slavonskom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08">
        <w:rPr>
          <w:rFonts w:ascii="Times New Roman" w:hAnsi="Times New Roman" w:cs="Times New Roman"/>
          <w:sz w:val="24"/>
          <w:szCs w:val="24"/>
        </w:rPr>
        <w:t>Brod</w:t>
      </w:r>
      <w:r w:rsidR="003B0D8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95F08">
        <w:rPr>
          <w:rFonts w:ascii="Times New Roman" w:hAnsi="Times New Roman" w:cs="Times New Roman"/>
          <w:sz w:val="24"/>
          <w:szCs w:val="24"/>
        </w:rPr>
        <w:t>23.</w:t>
      </w:r>
      <w:proofErr w:type="gramEnd"/>
      <w:r w:rsidR="00F95F08">
        <w:rPr>
          <w:rFonts w:ascii="Times New Roman" w:hAnsi="Times New Roman" w:cs="Times New Roman"/>
          <w:sz w:val="24"/>
          <w:szCs w:val="24"/>
        </w:rPr>
        <w:t xml:space="preserve"> 5</w:t>
      </w:r>
      <w:r w:rsidR="003B0D8D">
        <w:rPr>
          <w:rFonts w:ascii="Times New Roman" w:hAnsi="Times New Roman" w:cs="Times New Roman"/>
          <w:sz w:val="24"/>
          <w:szCs w:val="24"/>
        </w:rPr>
        <w:t>.</w:t>
      </w:r>
      <w:r w:rsidR="00F95F08">
        <w:rPr>
          <w:rFonts w:ascii="Times New Roman" w:hAnsi="Times New Roman" w:cs="Times New Roman"/>
          <w:sz w:val="24"/>
          <w:szCs w:val="24"/>
        </w:rPr>
        <w:t xml:space="preserve"> s 40 mm</w:t>
      </w:r>
      <w:r w:rsidR="003B0D8D">
        <w:rPr>
          <w:rFonts w:ascii="Times New Roman" w:hAnsi="Times New Roman" w:cs="Times New Roman"/>
          <w:sz w:val="24"/>
          <w:szCs w:val="24"/>
        </w:rPr>
        <w:t xml:space="preserve"> , a u</w:t>
      </w:r>
      <w:r w:rsidR="00F9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F08"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 w:rsidR="00F95F08">
        <w:rPr>
          <w:rFonts w:ascii="Times New Roman" w:hAnsi="Times New Roman" w:cs="Times New Roman"/>
          <w:sz w:val="24"/>
          <w:szCs w:val="24"/>
        </w:rPr>
        <w:t xml:space="preserve"> je to 25.5. </w:t>
      </w:r>
      <w:proofErr w:type="gramStart"/>
      <w:r w:rsidR="00F95F0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95F08">
        <w:rPr>
          <w:rFonts w:ascii="Times New Roman" w:hAnsi="Times New Roman" w:cs="Times New Roman"/>
          <w:sz w:val="24"/>
          <w:szCs w:val="24"/>
        </w:rPr>
        <w:t xml:space="preserve"> 30 mm.</w:t>
      </w:r>
    </w:p>
    <w:p w:rsidR="00A749BB" w:rsidRPr="000A6555" w:rsidRDefault="002D5EAE" w:rsidP="00A749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5478A5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oborinski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(OŠ Osijek)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pokazali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B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neprecizni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usporedbi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78A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8A5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="005478A5">
        <w:rPr>
          <w:rFonts w:ascii="Times New Roman" w:hAnsi="Times New Roman" w:cs="Times New Roman"/>
          <w:sz w:val="24"/>
          <w:szCs w:val="24"/>
        </w:rPr>
        <w:t xml:space="preserve"> DHMZ-a.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, GLOBE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podatci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uspoređeni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točnosti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="00A74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9BB">
        <w:rPr>
          <w:rFonts w:ascii="Times New Roman" w:hAnsi="Times New Roman" w:cs="Times New Roman"/>
          <w:sz w:val="24"/>
          <w:szCs w:val="24"/>
        </w:rPr>
        <w:t xml:space="preserve">GLOBE  </w:t>
      </w:r>
      <w:proofErr w:type="spellStart"/>
      <w:r w:rsidR="00A749BB">
        <w:rPr>
          <w:rFonts w:ascii="Times New Roman" w:hAnsi="Times New Roman" w:cs="Times New Roman"/>
          <w:sz w:val="24"/>
          <w:szCs w:val="24"/>
        </w:rPr>
        <w:t>mjerenja</w:t>
      </w:r>
      <w:proofErr w:type="spellEnd"/>
      <w:proofErr w:type="gramEnd"/>
      <w:r w:rsidR="00A749BB">
        <w:rPr>
          <w:rFonts w:ascii="Times New Roman" w:hAnsi="Times New Roman" w:cs="Times New Roman"/>
          <w:sz w:val="24"/>
          <w:szCs w:val="24"/>
        </w:rPr>
        <w:t>.</w:t>
      </w:r>
    </w:p>
    <w:p w:rsidR="00A749BB" w:rsidRDefault="00A749BB" w:rsidP="00F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51" w:rsidRDefault="002A1351" w:rsidP="00F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C4" w:rsidRDefault="00E662C5" w:rsidP="00FB2A90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A90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="00FB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A90" w:rsidRPr="00FB2A90" w:rsidRDefault="00FB2A90" w:rsidP="00FB2A9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C5" w:rsidRDefault="00E662C5" w:rsidP="00FB2A90">
      <w:pPr>
        <w:pStyle w:val="ListParagraph"/>
        <w:numPr>
          <w:ilvl w:val="0"/>
          <w:numId w:val="8"/>
        </w:numPr>
        <w:spacing w:line="240" w:lineRule="auto"/>
        <w:ind w:left="8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i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leksikon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HGd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1999.</w:t>
      </w:r>
    </w:p>
    <w:p w:rsidR="00E662C5" w:rsidRDefault="00E662C5" w:rsidP="00FB2A90">
      <w:pPr>
        <w:pStyle w:val="ListParagraph"/>
        <w:numPr>
          <w:ilvl w:val="0"/>
          <w:numId w:val="8"/>
        </w:numPr>
        <w:spacing w:line="240" w:lineRule="auto"/>
        <w:ind w:left="8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OŠ; ŠK, Zagreb 2013.</w:t>
      </w:r>
    </w:p>
    <w:p w:rsidR="00E662C5" w:rsidRDefault="00E662C5" w:rsidP="00FB2A90">
      <w:pPr>
        <w:pStyle w:val="ListParagraph"/>
        <w:numPr>
          <w:ilvl w:val="0"/>
          <w:numId w:val="8"/>
        </w:numPr>
        <w:spacing w:line="240" w:lineRule="auto"/>
        <w:ind w:left="8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DHMZ –a ( </w:t>
      </w:r>
      <w:hyperlink r:id="rId10" w:history="1">
        <w:r w:rsidRPr="00815FF9">
          <w:rPr>
            <w:rStyle w:val="Hyperlink"/>
            <w:rFonts w:ascii="Times New Roman" w:hAnsi="Times New Roman" w:cs="Times New Roman"/>
            <w:sz w:val="24"/>
            <w:szCs w:val="24"/>
          </w:rPr>
          <w:t>http://meteo.hr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662C5" w:rsidRDefault="00E662C5" w:rsidP="00FB2A90">
      <w:pPr>
        <w:pStyle w:val="ListParagraph"/>
        <w:numPr>
          <w:ilvl w:val="0"/>
          <w:numId w:val="8"/>
        </w:numPr>
        <w:spacing w:line="240" w:lineRule="auto"/>
        <w:ind w:left="8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GLOBE ( </w:t>
      </w:r>
      <w:hyperlink r:id="rId11" w:history="1">
        <w:r w:rsidRPr="00815FF9">
          <w:rPr>
            <w:rStyle w:val="Hyperlink"/>
            <w:rFonts w:ascii="Times New Roman" w:hAnsi="Times New Roman" w:cs="Times New Roman"/>
            <w:sz w:val="24"/>
            <w:szCs w:val="24"/>
          </w:rPr>
          <w:t>www.globe.gov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07836" w:rsidRPr="00E662C5" w:rsidRDefault="00E662C5" w:rsidP="00FB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07836" w:rsidRPr="00E662C5" w:rsidSect="005F7D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7"/>
    <w:multiLevelType w:val="hybridMultilevel"/>
    <w:tmpl w:val="D4B26952"/>
    <w:lvl w:ilvl="0" w:tplc="760658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14F65"/>
    <w:multiLevelType w:val="hybridMultilevel"/>
    <w:tmpl w:val="DAC66720"/>
    <w:lvl w:ilvl="0" w:tplc="E3C46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A7B52"/>
    <w:multiLevelType w:val="hybridMultilevel"/>
    <w:tmpl w:val="C69A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1DCF"/>
    <w:multiLevelType w:val="hybridMultilevel"/>
    <w:tmpl w:val="9374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0DF3"/>
    <w:multiLevelType w:val="hybridMultilevel"/>
    <w:tmpl w:val="2352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75F"/>
    <w:multiLevelType w:val="hybridMultilevel"/>
    <w:tmpl w:val="85C0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A04A6"/>
    <w:multiLevelType w:val="hybridMultilevel"/>
    <w:tmpl w:val="E4AA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C76"/>
    <w:multiLevelType w:val="hybridMultilevel"/>
    <w:tmpl w:val="308230EA"/>
    <w:lvl w:ilvl="0" w:tplc="825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2F0E"/>
    <w:rsid w:val="0000379D"/>
    <w:rsid w:val="00006E49"/>
    <w:rsid w:val="000A6555"/>
    <w:rsid w:val="000B6C73"/>
    <w:rsid w:val="00111C9C"/>
    <w:rsid w:val="001279FA"/>
    <w:rsid w:val="001465E9"/>
    <w:rsid w:val="002426EF"/>
    <w:rsid w:val="0024745D"/>
    <w:rsid w:val="00252F0E"/>
    <w:rsid w:val="002934B5"/>
    <w:rsid w:val="002A1351"/>
    <w:rsid w:val="002D5EAE"/>
    <w:rsid w:val="002D5ED9"/>
    <w:rsid w:val="0031630F"/>
    <w:rsid w:val="0032298B"/>
    <w:rsid w:val="003263F7"/>
    <w:rsid w:val="00330423"/>
    <w:rsid w:val="0033565C"/>
    <w:rsid w:val="0034054B"/>
    <w:rsid w:val="00354479"/>
    <w:rsid w:val="00380BBA"/>
    <w:rsid w:val="00386C0C"/>
    <w:rsid w:val="003B0D8D"/>
    <w:rsid w:val="00414B7A"/>
    <w:rsid w:val="00425296"/>
    <w:rsid w:val="00436524"/>
    <w:rsid w:val="004B0796"/>
    <w:rsid w:val="004B5290"/>
    <w:rsid w:val="004C1C51"/>
    <w:rsid w:val="004F713F"/>
    <w:rsid w:val="00531C97"/>
    <w:rsid w:val="005478A5"/>
    <w:rsid w:val="005510A0"/>
    <w:rsid w:val="00556965"/>
    <w:rsid w:val="005C4B9A"/>
    <w:rsid w:val="005F38E8"/>
    <w:rsid w:val="005F7D80"/>
    <w:rsid w:val="0062246B"/>
    <w:rsid w:val="00626130"/>
    <w:rsid w:val="0063080A"/>
    <w:rsid w:val="006E1257"/>
    <w:rsid w:val="006F3C6F"/>
    <w:rsid w:val="00785875"/>
    <w:rsid w:val="00802217"/>
    <w:rsid w:val="0082651C"/>
    <w:rsid w:val="0085373F"/>
    <w:rsid w:val="00873253"/>
    <w:rsid w:val="00890194"/>
    <w:rsid w:val="008B38FB"/>
    <w:rsid w:val="008C0002"/>
    <w:rsid w:val="008C1BA1"/>
    <w:rsid w:val="00903879"/>
    <w:rsid w:val="009523A7"/>
    <w:rsid w:val="0099313E"/>
    <w:rsid w:val="009B4596"/>
    <w:rsid w:val="009F5E07"/>
    <w:rsid w:val="00A00C81"/>
    <w:rsid w:val="00A45619"/>
    <w:rsid w:val="00A57E05"/>
    <w:rsid w:val="00A70097"/>
    <w:rsid w:val="00A749BB"/>
    <w:rsid w:val="00A81B43"/>
    <w:rsid w:val="00AF51ED"/>
    <w:rsid w:val="00B416E2"/>
    <w:rsid w:val="00B756DE"/>
    <w:rsid w:val="00B833C4"/>
    <w:rsid w:val="00C07836"/>
    <w:rsid w:val="00C16ACC"/>
    <w:rsid w:val="00C278D1"/>
    <w:rsid w:val="00C43876"/>
    <w:rsid w:val="00CD3F58"/>
    <w:rsid w:val="00CE259E"/>
    <w:rsid w:val="00D46175"/>
    <w:rsid w:val="00E3317F"/>
    <w:rsid w:val="00E537D9"/>
    <w:rsid w:val="00E623DA"/>
    <w:rsid w:val="00E662C5"/>
    <w:rsid w:val="00E85887"/>
    <w:rsid w:val="00ED0FB2"/>
    <w:rsid w:val="00F37EC4"/>
    <w:rsid w:val="00F51C9C"/>
    <w:rsid w:val="00F95F08"/>
    <w:rsid w:val="00FB2A90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0796"/>
    <w:rPr>
      <w:color w:val="808080"/>
    </w:rPr>
  </w:style>
  <w:style w:type="table" w:styleId="TableGrid">
    <w:name w:val="Table Grid"/>
    <w:basedOn w:val="TableNormal"/>
    <w:uiPriority w:val="59"/>
    <w:rsid w:val="005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330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30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0A6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0796"/>
    <w:rPr>
      <w:color w:val="808080"/>
    </w:rPr>
  </w:style>
  <w:style w:type="table" w:styleId="TableGrid">
    <w:name w:val="Table Grid"/>
    <w:basedOn w:val="TableNormal"/>
    <w:uiPriority w:val="59"/>
    <w:rsid w:val="005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330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30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85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0A6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glob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eo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Lerinc\Desktop\Globe\2o13...ki&#353;,dan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Lerinc\Desktop\Globe\2oo5..ki&#353;,dan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Lerinc\Desktop\Globe\2o13...ki&#353;,dan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505205305712688E-2"/>
          <c:y val="3.0820806490097837E-2"/>
          <c:w val="0.9060719759023409"/>
          <c:h val="0.60310159400806629"/>
        </c:manualLayout>
      </c:layout>
      <c:barChart>
        <c:barDir val="col"/>
        <c:grouping val="clustered"/>
        <c:ser>
          <c:idx val="0"/>
          <c:order val="0"/>
          <c:tx>
            <c:strRef>
              <c:f>Sheet1!$A$6:$B$6</c:f>
              <c:strCache>
                <c:ptCount val="1"/>
                <c:pt idx="0">
                  <c:v>2015.god. mjesečna količina oborine u Osijeku</c:v>
                </c:pt>
              </c:strCache>
            </c:strRef>
          </c:tx>
          <c:cat>
            <c:strRef>
              <c:f>Sheet1!$C$1:$N$5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70</c:v>
                </c:pt>
                <c:pt idx="1">
                  <c:v>42</c:v>
                </c:pt>
                <c:pt idx="2">
                  <c:v>32</c:v>
                </c:pt>
                <c:pt idx="3">
                  <c:v>9</c:v>
                </c:pt>
                <c:pt idx="4">
                  <c:v>89</c:v>
                </c:pt>
                <c:pt idx="5">
                  <c:v>22</c:v>
                </c:pt>
                <c:pt idx="6">
                  <c:v>10</c:v>
                </c:pt>
                <c:pt idx="7">
                  <c:v>15</c:v>
                </c:pt>
                <c:pt idx="8">
                  <c:v>38</c:v>
                </c:pt>
                <c:pt idx="9">
                  <c:v>83</c:v>
                </c:pt>
                <c:pt idx="10">
                  <c:v>42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Sheet1!$A$7:$B$7</c:f>
              <c:strCache>
                <c:ptCount val="1"/>
                <c:pt idx="0">
                  <c:v>2015. god. mjesečna količina oborine u Slavonskom  Brodu</c:v>
                </c:pt>
              </c:strCache>
            </c:strRef>
          </c:tx>
          <c:cat>
            <c:strRef>
              <c:f>Sheet1!$C$1:$N$5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75.8</c:v>
                </c:pt>
                <c:pt idx="1">
                  <c:v>82.8</c:v>
                </c:pt>
                <c:pt idx="2">
                  <c:v>50.5</c:v>
                </c:pt>
                <c:pt idx="3" formatCode="0.00;[Red]0.00">
                  <c:v>12.6</c:v>
                </c:pt>
                <c:pt idx="4">
                  <c:v>143</c:v>
                </c:pt>
                <c:pt idx="5" formatCode="0.00;[Red]0.00">
                  <c:v>26.3</c:v>
                </c:pt>
                <c:pt idx="6">
                  <c:v>20</c:v>
                </c:pt>
                <c:pt idx="7">
                  <c:v>73.7</c:v>
                </c:pt>
                <c:pt idx="8">
                  <c:v>71.7</c:v>
                </c:pt>
                <c:pt idx="9">
                  <c:v>144.4</c:v>
                </c:pt>
                <c:pt idx="10">
                  <c:v>61.8</c:v>
                </c:pt>
                <c:pt idx="11">
                  <c:v>42</c:v>
                </c:pt>
              </c:numCache>
            </c:numRef>
          </c:val>
        </c:ser>
        <c:gapWidth val="75"/>
        <c:overlap val="-25"/>
        <c:axId val="51962624"/>
        <c:axId val="51964160"/>
      </c:barChart>
      <c:catAx>
        <c:axId val="51962624"/>
        <c:scaling>
          <c:orientation val="minMax"/>
        </c:scaling>
        <c:axPos val="b"/>
        <c:majorTickMark val="none"/>
        <c:tickLblPos val="nextTo"/>
        <c:crossAx val="51964160"/>
        <c:crosses val="autoZero"/>
        <c:auto val="1"/>
        <c:lblAlgn val="ctr"/>
        <c:lblOffset val="100"/>
      </c:catAx>
      <c:valAx>
        <c:axId val="51964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1962624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Sheet1!$G$20:$G$21</c:f>
              <c:strCache>
                <c:ptCount val="1"/>
                <c:pt idx="0">
                  <c:v>Osijek- DHMZ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Sheet1!$G$22:$G$34</c:f>
              <c:numCache>
                <c:formatCode>General</c:formatCode>
                <c:ptCount val="13"/>
                <c:pt idx="0">
                  <c:v>82.8</c:v>
                </c:pt>
                <c:pt idx="1">
                  <c:v>57.8</c:v>
                </c:pt>
                <c:pt idx="2">
                  <c:v>57.1</c:v>
                </c:pt>
                <c:pt idx="3">
                  <c:v>11.2</c:v>
                </c:pt>
                <c:pt idx="4">
                  <c:v>123.8</c:v>
                </c:pt>
                <c:pt idx="5">
                  <c:v>35.800000000000004</c:v>
                </c:pt>
                <c:pt idx="6">
                  <c:v>16.600000000000001</c:v>
                </c:pt>
                <c:pt idx="7">
                  <c:v>63.8</c:v>
                </c:pt>
                <c:pt idx="8">
                  <c:v>36.300000000000004</c:v>
                </c:pt>
                <c:pt idx="9">
                  <c:v>11.9</c:v>
                </c:pt>
                <c:pt idx="10">
                  <c:v>52.5</c:v>
                </c:pt>
                <c:pt idx="1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Sheet1!$H$20:$H$21</c:f>
              <c:strCache>
                <c:ptCount val="1"/>
                <c:pt idx="0">
                  <c:v>Osijek- DHMZ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Sheet1!$H$22:$H$34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Sheet1!$I$20:$I$21</c:f>
              <c:strCache>
                <c:ptCount val="1"/>
                <c:pt idx="0">
                  <c:v>Slavonski Brod-DHMZ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Sheet1!$I$22:$I$34</c:f>
              <c:numCache>
                <c:formatCode>General</c:formatCode>
                <c:ptCount val="13"/>
                <c:pt idx="0">
                  <c:v>75.5</c:v>
                </c:pt>
                <c:pt idx="1">
                  <c:v>79.5</c:v>
                </c:pt>
                <c:pt idx="2">
                  <c:v>38.200000000000003</c:v>
                </c:pt>
                <c:pt idx="3">
                  <c:v>28.2</c:v>
                </c:pt>
                <c:pt idx="4">
                  <c:v>143</c:v>
                </c:pt>
                <c:pt idx="5">
                  <c:v>26.3</c:v>
                </c:pt>
                <c:pt idx="6">
                  <c:v>15.2</c:v>
                </c:pt>
                <c:pt idx="7">
                  <c:v>78.5</c:v>
                </c:pt>
                <c:pt idx="8">
                  <c:v>71.099999999999994</c:v>
                </c:pt>
                <c:pt idx="9">
                  <c:v>144.4</c:v>
                </c:pt>
                <c:pt idx="10">
                  <c:v>61.8</c:v>
                </c:pt>
                <c:pt idx="11">
                  <c:v>4.2</c:v>
                </c:pt>
              </c:numCache>
            </c:numRef>
          </c:val>
        </c:ser>
        <c:ser>
          <c:idx val="3"/>
          <c:order val="3"/>
          <c:tx>
            <c:strRef>
              <c:f>Sheet1!$J$20:$J$21</c:f>
              <c:strCache>
                <c:ptCount val="1"/>
                <c:pt idx="0">
                  <c:v>Slavonski Brod-DHMZ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Sheet1!$J$22:$J$34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4"/>
          <c:tx>
            <c:strRef>
              <c:f>Sheet1!$K$20:$K$21</c:f>
              <c:strCache>
                <c:ptCount val="1"/>
                <c:pt idx="0">
                  <c:v>Škola-Osijek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Sheet1!$K$22:$K$34</c:f>
              <c:numCache>
                <c:formatCode>General</c:formatCode>
                <c:ptCount val="13"/>
                <c:pt idx="0">
                  <c:v>70</c:v>
                </c:pt>
                <c:pt idx="1">
                  <c:v>42</c:v>
                </c:pt>
                <c:pt idx="2">
                  <c:v>32</c:v>
                </c:pt>
                <c:pt idx="3">
                  <c:v>9</c:v>
                </c:pt>
                <c:pt idx="4">
                  <c:v>89</c:v>
                </c:pt>
                <c:pt idx="5">
                  <c:v>22</c:v>
                </c:pt>
                <c:pt idx="6">
                  <c:v>10</c:v>
                </c:pt>
                <c:pt idx="7">
                  <c:v>15</c:v>
                </c:pt>
                <c:pt idx="8">
                  <c:v>38</c:v>
                </c:pt>
                <c:pt idx="9">
                  <c:v>83</c:v>
                </c:pt>
                <c:pt idx="10">
                  <c:v>42</c:v>
                </c:pt>
                <c:pt idx="11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Sheet1!$L$20:$L$21</c:f>
              <c:strCache>
                <c:ptCount val="1"/>
                <c:pt idx="0">
                  <c:v>Škola-Osijek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Sheet1!$L$22:$L$34</c:f>
              <c:numCache>
                <c:formatCode>General</c:formatCode>
                <c:ptCount val="13"/>
              </c:numCache>
            </c:numRef>
          </c:val>
        </c:ser>
        <c:ser>
          <c:idx val="6"/>
          <c:order val="6"/>
          <c:tx>
            <c:strRef>
              <c:f>Sheet1!$M$20:$M$21</c:f>
              <c:strCache>
                <c:ptCount val="1"/>
                <c:pt idx="0">
                  <c:v>Škola-Slavonski Brod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Sheet1!$M$22:$M$34</c:f>
              <c:numCache>
                <c:formatCode>General</c:formatCode>
                <c:ptCount val="13"/>
                <c:pt idx="0">
                  <c:v>75.8</c:v>
                </c:pt>
                <c:pt idx="1">
                  <c:v>82.8</c:v>
                </c:pt>
                <c:pt idx="2">
                  <c:v>50.5</c:v>
                </c:pt>
                <c:pt idx="3">
                  <c:v>12.6</c:v>
                </c:pt>
                <c:pt idx="4">
                  <c:v>143</c:v>
                </c:pt>
                <c:pt idx="5">
                  <c:v>26.3</c:v>
                </c:pt>
                <c:pt idx="6">
                  <c:v>20</c:v>
                </c:pt>
                <c:pt idx="7">
                  <c:v>73.7</c:v>
                </c:pt>
                <c:pt idx="8">
                  <c:v>71.7</c:v>
                </c:pt>
                <c:pt idx="9">
                  <c:v>144.4</c:v>
                </c:pt>
                <c:pt idx="10">
                  <c:v>61.8</c:v>
                </c:pt>
                <c:pt idx="11">
                  <c:v>4.2</c:v>
                </c:pt>
              </c:numCache>
            </c:numRef>
          </c:val>
        </c:ser>
        <c:ser>
          <c:idx val="7"/>
          <c:order val="7"/>
          <c:tx>
            <c:strRef>
              <c:f>Sheet1!$N$20:$N$21</c:f>
              <c:strCache>
                <c:ptCount val="1"/>
                <c:pt idx="0">
                  <c:v>Škola-Slavonski Brod</c:v>
                </c:pt>
              </c:strCache>
            </c:strRef>
          </c:tx>
          <c:cat>
            <c:strRef>
              <c:f>Sheet1!$E$22:$F$34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Sheet1!$N$22:$N$34</c:f>
              <c:numCache>
                <c:formatCode>General</c:formatCode>
                <c:ptCount val="13"/>
              </c:numCache>
            </c:numRef>
          </c:val>
        </c:ser>
        <c:gapWidth val="0"/>
        <c:axId val="82605952"/>
        <c:axId val="86786048"/>
      </c:barChart>
      <c:catAx>
        <c:axId val="82605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2015. godina, mjeseci</a:t>
                </a:r>
                <a:endParaRPr lang="en-US"/>
              </a:p>
            </c:rich>
          </c:tx>
        </c:title>
        <c:majorTickMark val="none"/>
        <c:tickLblPos val="nextTo"/>
        <c:crossAx val="86786048"/>
        <c:crosses val="autoZero"/>
        <c:auto val="1"/>
        <c:lblAlgn val="ctr"/>
        <c:lblOffset val="100"/>
      </c:catAx>
      <c:valAx>
        <c:axId val="867860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Količina oborine u mm</a:t>
                </a:r>
                <a:endParaRPr lang="en-US"/>
              </a:p>
            </c:rich>
          </c:tx>
        </c:title>
        <c:numFmt formatCode="General" sourceLinked="1"/>
        <c:tickLblPos val="nextTo"/>
        <c:crossAx val="8260595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b="0"/>
            </a:pPr>
            <a:r>
              <a:rPr lang="en-US" sz="1200" b="0"/>
              <a:t>Broj  dana</a:t>
            </a:r>
            <a:r>
              <a:rPr lang="hr-HR" sz="1200" b="0"/>
              <a:t> s oborinom </a:t>
            </a:r>
            <a:r>
              <a:rPr lang="hr-HR" sz="1200" b="0">
                <a:latin typeface="Times New Roman"/>
                <a:cs typeface="Times New Roman"/>
              </a:rPr>
              <a:t>≥ 1 mm</a:t>
            </a:r>
            <a:r>
              <a:rPr lang="en-US" sz="1200" b="0"/>
              <a:t> po mjesecima u 2015. </a:t>
            </a:r>
          </a:p>
        </c:rich>
      </c:tx>
      <c:layout>
        <c:manualLayout>
          <c:xMode val="edge"/>
          <c:yMode val="edge"/>
          <c:x val="0.13025010710434179"/>
          <c:y val="3.240740740740741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Sheet2!$B$2:$E$2</c:f>
              <c:strCache>
                <c:ptCount val="1"/>
              </c:strCache>
            </c:strRef>
          </c:tx>
          <c:cat>
            <c:strRef>
              <c:f>Sheet2!$F$1:$Q$1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Sheet2!$F$2:$Q$2</c:f>
              <c:numCache>
                <c:formatCode>General</c:formatCode>
                <c:ptCount val="12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10</c:v>
                </c:pt>
                <c:pt idx="9">
                  <c:v>10</c:v>
                </c:pt>
                <c:pt idx="10">
                  <c:v>7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Sheet2!$B$3:$E$3</c:f>
              <c:strCache>
                <c:ptCount val="1"/>
              </c:strCache>
            </c:strRef>
          </c:tx>
          <c:cat>
            <c:strRef>
              <c:f>Sheet2!$F$1:$Q$1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Sheet2!$F$3:$Q$3</c:f>
              <c:numCache>
                <c:formatCode>General</c:formatCode>
                <c:ptCount val="12"/>
                <c:pt idx="0">
                  <c:v>19</c:v>
                </c:pt>
                <c:pt idx="1">
                  <c:v>14</c:v>
                </c:pt>
                <c:pt idx="2">
                  <c:v>10</c:v>
                </c:pt>
                <c:pt idx="3">
                  <c:v>9</c:v>
                </c:pt>
                <c:pt idx="4">
                  <c:v>14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12</c:v>
                </c:pt>
                <c:pt idx="9">
                  <c:v>15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Sheet2!$B$4:$E$4</c:f>
              <c:strCache>
                <c:ptCount val="1"/>
                <c:pt idx="0">
                  <c:v> Osijek</c:v>
                </c:pt>
              </c:strCache>
            </c:strRef>
          </c:tx>
          <c:cat>
            <c:strRef>
              <c:f>Sheet2!$F$1:$Q$1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Sheet2!$F$4:$Q$4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Sheet2!$B$5:$E$5</c:f>
              <c:strCache>
                <c:ptCount val="1"/>
                <c:pt idx="0">
                  <c:v> Slavonski brod</c:v>
                </c:pt>
              </c:strCache>
            </c:strRef>
          </c:tx>
          <c:cat>
            <c:strRef>
              <c:f>Sheet2!$F$1:$Q$1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Sheet2!$F$5:$Q$5</c:f>
              <c:numCache>
                <c:formatCode>General</c:formatCode>
                <c:ptCount val="12"/>
              </c:numCache>
            </c:numRef>
          </c:val>
        </c:ser>
        <c:axId val="49327104"/>
        <c:axId val="49877760"/>
      </c:barChart>
      <c:catAx>
        <c:axId val="49327104"/>
        <c:scaling>
          <c:orientation val="minMax"/>
        </c:scaling>
        <c:axPos val="b"/>
        <c:tickLblPos val="nextTo"/>
        <c:crossAx val="49877760"/>
        <c:crosses val="autoZero"/>
        <c:auto val="1"/>
        <c:lblAlgn val="ctr"/>
        <c:lblOffset val="100"/>
      </c:catAx>
      <c:valAx>
        <c:axId val="4987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broj  dana</a:t>
                </a:r>
                <a:endParaRPr lang="en-US"/>
              </a:p>
            </c:rich>
          </c:tx>
        </c:title>
        <c:numFmt formatCode="General" sourceLinked="1"/>
        <c:tickLblPos val="nextTo"/>
        <c:crossAx val="49327104"/>
        <c:crosses val="autoZero"/>
        <c:crossBetween val="between"/>
      </c:valAx>
      <c:spPr>
        <a:ln>
          <a:solidFill>
            <a:schemeClr val="accent2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375019685039403"/>
          <c:y val="0"/>
          <c:w val="0.20958307086614178"/>
          <c:h val="0.63579469233012598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0.69903</cdr:x>
      <cdr:y>0.73609</cdr:y>
    </cdr:from>
    <cdr:to>
      <cdr:x>0.97864</cdr:x>
      <cdr:y>0.89825</cdr:y>
    </cdr:to>
    <cdr:sp macro="" textlink="">
      <cdr:nvSpPr>
        <cdr:cNvPr id="3" name="Pravokutnik 2"/>
        <cdr:cNvSpPr/>
      </cdr:nvSpPr>
      <cdr:spPr>
        <a:xfrm xmlns:a="http://schemas.openxmlformats.org/drawingml/2006/main" flipV="1">
          <a:off x="3428999" y="2205040"/>
          <a:ext cx="1371601" cy="4857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0.70485</cdr:x>
      <cdr:y>0.25758</cdr:y>
    </cdr:from>
    <cdr:to>
      <cdr:x>0.9301</cdr:x>
      <cdr:y>0.34026</cdr:y>
    </cdr:to>
    <cdr:sp macro="" textlink="">
      <cdr:nvSpPr>
        <cdr:cNvPr id="2" name="Pravokutnik 1"/>
        <cdr:cNvSpPr/>
      </cdr:nvSpPr>
      <cdr:spPr>
        <a:xfrm xmlns:a="http://schemas.openxmlformats.org/drawingml/2006/main">
          <a:off x="3457575" y="771525"/>
          <a:ext cx="1104900" cy="2476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0.69515</cdr:x>
      <cdr:y>0.42612</cdr:y>
    </cdr:from>
    <cdr:to>
      <cdr:x>0.97864</cdr:x>
      <cdr:y>0.48654</cdr:y>
    </cdr:to>
    <cdr:sp macro="" textlink="">
      <cdr:nvSpPr>
        <cdr:cNvPr id="4" name="Pravokutnik 3"/>
        <cdr:cNvSpPr/>
      </cdr:nvSpPr>
      <cdr:spPr>
        <a:xfrm xmlns:a="http://schemas.openxmlformats.org/drawingml/2006/main">
          <a:off x="3409950" y="1276350"/>
          <a:ext cx="1390650" cy="1809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0.72039</cdr:x>
      <cdr:y>0.56604</cdr:y>
    </cdr:from>
    <cdr:to>
      <cdr:x>0.97864</cdr:x>
      <cdr:y>0.64872</cdr:y>
    </cdr:to>
    <cdr:sp macro="" textlink="">
      <cdr:nvSpPr>
        <cdr:cNvPr id="5" name="Pravokutnik 4"/>
        <cdr:cNvSpPr/>
      </cdr:nvSpPr>
      <cdr:spPr>
        <a:xfrm xmlns:a="http://schemas.openxmlformats.org/drawingml/2006/main">
          <a:off x="3533774" y="1695450"/>
          <a:ext cx="1266825" cy="2476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0.795</cdr:x>
      <cdr:y>0.02778</cdr:y>
    </cdr:from>
    <cdr:to>
      <cdr:x>0.975</cdr:x>
      <cdr:y>0.36111</cdr:y>
    </cdr:to>
    <cdr:sp macro="" textlink="">
      <cdr:nvSpPr>
        <cdr:cNvPr id="3" name="Pravokutnik 2"/>
        <cdr:cNvSpPr/>
      </cdr:nvSpPr>
      <cdr:spPr>
        <a:xfrm xmlns:a="http://schemas.openxmlformats.org/drawingml/2006/main">
          <a:off x="4038600" y="76200"/>
          <a:ext cx="914400" cy="9144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0.785</cdr:x>
      <cdr:y>0.37037</cdr:y>
    </cdr:from>
    <cdr:to>
      <cdr:x>0.815</cdr:x>
      <cdr:y>0.43981</cdr:y>
    </cdr:to>
    <cdr:sp macro="" textlink="">
      <cdr:nvSpPr>
        <cdr:cNvPr id="4" name="Pravokutnik 3"/>
        <cdr:cNvSpPr/>
      </cdr:nvSpPr>
      <cdr:spPr>
        <a:xfrm xmlns:a="http://schemas.openxmlformats.org/drawingml/2006/main">
          <a:off x="3987800" y="1016000"/>
          <a:ext cx="152400" cy="190500"/>
        </a:xfrm>
        <a:prstGeom xmlns:a="http://schemas.openxmlformats.org/drawingml/2006/main" prst="rect">
          <a:avLst/>
        </a:prstGeom>
        <a:solidFill xmlns:a="http://schemas.openxmlformats.org/drawingml/2006/main">
          <a:srgbClr val="0070C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0.7825</cdr:x>
      <cdr:y>0.51389</cdr:y>
    </cdr:from>
    <cdr:to>
      <cdr:x>0.8125</cdr:x>
      <cdr:y>0.58333</cdr:y>
    </cdr:to>
    <cdr:sp macro="" textlink="">
      <cdr:nvSpPr>
        <cdr:cNvPr id="5" name="Pravokutnik 4"/>
        <cdr:cNvSpPr/>
      </cdr:nvSpPr>
      <cdr:spPr>
        <a:xfrm xmlns:a="http://schemas.openxmlformats.org/drawingml/2006/main" flipH="1">
          <a:off x="3975100" y="1409700"/>
          <a:ext cx="152400" cy="190500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1E98-8B08-4808-AEA0-77DD2EC9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2013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Lerinc</dc:creator>
  <cp:lastModifiedBy>dubravka rasol</cp:lastModifiedBy>
  <cp:revision>4</cp:revision>
  <dcterms:created xsi:type="dcterms:W3CDTF">2016-05-18T08:44:00Z</dcterms:created>
  <dcterms:modified xsi:type="dcterms:W3CDTF">2016-05-18T08:52:00Z</dcterms:modified>
</cp:coreProperties>
</file>