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0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Proljetnice – gnojiti ili ne?</w:t>
      </w:r>
    </w:p>
    <w:p w:rsidR="00AE32C6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</w:p>
    <w:p w:rsidR="00AE32C6" w:rsidRPr="00AE32C6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  <w:r w:rsidRPr="00AE32C6">
        <w:rPr>
          <w:rFonts w:ascii="Arial" w:hAnsi="Arial" w:cs="Arial"/>
          <w:b/>
          <w:sz w:val="20"/>
          <w:szCs w:val="20"/>
        </w:rPr>
        <w:t xml:space="preserve">Učenici: Leonarda Gavran, Ivana </w:t>
      </w:r>
      <w:proofErr w:type="spellStart"/>
      <w:r w:rsidRPr="00AE32C6">
        <w:rPr>
          <w:rFonts w:ascii="Arial" w:hAnsi="Arial" w:cs="Arial"/>
          <w:b/>
          <w:sz w:val="20"/>
          <w:szCs w:val="20"/>
        </w:rPr>
        <w:t>Marijić</w:t>
      </w:r>
      <w:proofErr w:type="spellEnd"/>
      <w:r w:rsidRPr="00AE32C6">
        <w:rPr>
          <w:rFonts w:ascii="Arial" w:hAnsi="Arial" w:cs="Arial"/>
          <w:b/>
          <w:sz w:val="20"/>
          <w:szCs w:val="20"/>
        </w:rPr>
        <w:t xml:space="preserve">, Lea </w:t>
      </w:r>
      <w:proofErr w:type="spellStart"/>
      <w:r w:rsidRPr="00AE32C6">
        <w:rPr>
          <w:rFonts w:ascii="Arial" w:hAnsi="Arial" w:cs="Arial"/>
          <w:b/>
          <w:sz w:val="20"/>
          <w:szCs w:val="20"/>
        </w:rPr>
        <w:t>Zaimović</w:t>
      </w:r>
      <w:proofErr w:type="spellEnd"/>
    </w:p>
    <w:p w:rsidR="00AE32C6" w:rsidRPr="00AE32C6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</w:p>
    <w:p w:rsidR="00AE32C6" w:rsidRPr="00AE32C6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  <w:r w:rsidRPr="00AE32C6">
        <w:rPr>
          <w:rFonts w:ascii="Arial" w:hAnsi="Arial" w:cs="Arial"/>
          <w:b/>
          <w:sz w:val="20"/>
          <w:szCs w:val="20"/>
        </w:rPr>
        <w:t>Mentor: Mirta Malčić</w:t>
      </w:r>
    </w:p>
    <w:p w:rsidR="00AE32C6" w:rsidRPr="00AE32C6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</w:p>
    <w:p w:rsidR="00AE32C6" w:rsidRPr="00AE32C6" w:rsidRDefault="00AE32C6" w:rsidP="008E3670">
      <w:pPr>
        <w:jc w:val="center"/>
        <w:rPr>
          <w:rFonts w:ascii="Arial" w:hAnsi="Arial" w:cs="Arial"/>
          <w:b/>
          <w:sz w:val="20"/>
          <w:szCs w:val="20"/>
        </w:rPr>
      </w:pPr>
      <w:r w:rsidRPr="00AE32C6">
        <w:rPr>
          <w:rFonts w:ascii="Arial" w:hAnsi="Arial" w:cs="Arial"/>
          <w:b/>
          <w:sz w:val="20"/>
          <w:szCs w:val="20"/>
        </w:rPr>
        <w:t>OŠ „Đuro Pilar“ i OŠ „Hugo Badalić“, Slavonski Brod</w:t>
      </w:r>
    </w:p>
    <w:p w:rsidR="008E3670" w:rsidRPr="00AE32C6" w:rsidRDefault="008E3670" w:rsidP="008E3670">
      <w:pPr>
        <w:rPr>
          <w:rFonts w:ascii="Arial" w:hAnsi="Arial" w:cs="Arial"/>
          <w:b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AE32C6" w:rsidP="008E36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S</w:t>
      </w:r>
      <w:r w:rsidR="008E3670" w:rsidRPr="008E3670">
        <w:rPr>
          <w:rFonts w:ascii="Arial" w:hAnsi="Arial" w:cs="Arial"/>
          <w:b/>
          <w:sz w:val="20"/>
          <w:szCs w:val="20"/>
        </w:rPr>
        <w:t>ažetak</w:t>
      </w:r>
      <w:r w:rsidR="008E3670">
        <w:rPr>
          <w:rFonts w:ascii="Arial" w:hAnsi="Arial" w:cs="Arial"/>
          <w:b/>
          <w:sz w:val="20"/>
          <w:szCs w:val="20"/>
        </w:rPr>
        <w:t xml:space="preserve"> rada</w:t>
      </w:r>
    </w:p>
    <w:p w:rsidR="008E3670" w:rsidRPr="008E3670" w:rsidRDefault="008E3670" w:rsidP="008E3670">
      <w:pPr>
        <w:jc w:val="both"/>
        <w:rPr>
          <w:rFonts w:ascii="Arial" w:hAnsi="Arial" w:cs="Arial"/>
          <w:b/>
          <w:sz w:val="20"/>
          <w:szCs w:val="20"/>
        </w:rPr>
      </w:pPr>
    </w:p>
    <w:p w:rsidR="008E3670" w:rsidRDefault="008E3670" w:rsidP="008E367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sklopu Globe projekta odlučili smo proučiti kako vrsta gnojidbe utječe na brojnost jedinki proljetnica. </w:t>
      </w:r>
      <w:r w:rsidRPr="005F581C">
        <w:rPr>
          <w:rFonts w:ascii="Arial" w:hAnsi="Arial" w:cs="Arial"/>
          <w:sz w:val="20"/>
          <w:szCs w:val="20"/>
        </w:rPr>
        <w:t xml:space="preserve">Projekt je započet </w:t>
      </w:r>
      <w:r>
        <w:rPr>
          <w:rFonts w:ascii="Arial" w:hAnsi="Arial" w:cs="Arial"/>
          <w:sz w:val="20"/>
          <w:szCs w:val="20"/>
        </w:rPr>
        <w:t>u veljači 2017. godine, a provodit ćemo ga do veljače 2018. godine.</w:t>
      </w:r>
      <w:r w:rsidRPr="00030106">
        <w:rPr>
          <w:rFonts w:ascii="Arial" w:hAnsi="Arial" w:cs="Arial"/>
          <w:sz w:val="20"/>
          <w:szCs w:val="20"/>
        </w:rPr>
        <w:t xml:space="preserve">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Analizu tla provodimo na tri odabrana lokaliteta. Prvo mjerenje obavili smo krajem veljače, </w:t>
      </w:r>
      <w:r w:rsidRPr="00394870">
        <w:rPr>
          <w:rFonts w:ascii="Arial" w:hAnsi="Arial" w:cs="Arial"/>
          <w:sz w:val="20"/>
          <w:szCs w:val="20"/>
        </w:rPr>
        <w:t xml:space="preserve">drugo ćemo </w:t>
      </w:r>
      <w:r w:rsidRPr="005F581C">
        <w:rPr>
          <w:rFonts w:ascii="Arial" w:hAnsi="Arial" w:cs="Arial"/>
          <w:sz w:val="20"/>
          <w:szCs w:val="20"/>
        </w:rPr>
        <w:t xml:space="preserve">provesti u studenom </w:t>
      </w:r>
      <w:r>
        <w:rPr>
          <w:rFonts w:ascii="Arial" w:hAnsi="Arial" w:cs="Arial"/>
          <w:sz w:val="20"/>
          <w:szCs w:val="20"/>
        </w:rPr>
        <w:t>2017., a treće u veljači 2018.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1. lokalitetu u šumi će se odvijati prirodni proces gnojidbe, tijekom proljeća i ljeta ćemo umjetnim gnojivom gnojiti zemlju na 2. lokalitetu, a 3. lokalitet ćemo ostaviti netaknutim.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Cilj nam je uočiti utjecaj različite vrste gnojidbe na bujnost i povećanje broja jedinki na određenim staništima te razriješiti dvojbu naših majki je li bolje svake godine presađivati biljke u šumsku zemlju ili se bujnost i povećanje broja jedinki može povećati samo dodatkom umjetnog gnojiva.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prvog provedenog istraživanja zaključili smo da je tlo na sva tri lokaliteta </w:t>
      </w:r>
      <w:proofErr w:type="spellStart"/>
      <w:r>
        <w:rPr>
          <w:rFonts w:ascii="Arial" w:hAnsi="Arial" w:cs="Arial"/>
          <w:sz w:val="20"/>
          <w:szCs w:val="20"/>
        </w:rPr>
        <w:t>granularne</w:t>
      </w:r>
      <w:proofErr w:type="spellEnd"/>
      <w:r>
        <w:rPr>
          <w:rFonts w:ascii="Arial" w:hAnsi="Arial" w:cs="Arial"/>
          <w:sz w:val="20"/>
          <w:szCs w:val="20"/>
        </w:rPr>
        <w:t xml:space="preserve"> strukture, prhko i </w:t>
      </w:r>
      <w:proofErr w:type="spellStart"/>
      <w:r>
        <w:rPr>
          <w:rFonts w:ascii="Arial" w:hAnsi="Arial" w:cs="Arial"/>
          <w:sz w:val="20"/>
          <w:szCs w:val="20"/>
        </w:rPr>
        <w:t>zdrobljivo</w:t>
      </w:r>
      <w:proofErr w:type="spellEnd"/>
      <w:r>
        <w:rPr>
          <w:rFonts w:ascii="Arial" w:hAnsi="Arial" w:cs="Arial"/>
          <w:sz w:val="20"/>
          <w:szCs w:val="20"/>
        </w:rPr>
        <w:t xml:space="preserve">, nema stijena i s malo korijenja. Po teksturi sva tri tla pripadaju glinenoj ilovači. Šumsko tlo je dobro propusno, a tla sa travnjaka su propusna. Tlo u šumi pokazuje blago kiselu reakciju, dok su tla sa travnjaka neutralna iz čega zaključujemo da sva tla imaju jako dobru dostupnost  </w:t>
      </w:r>
      <w:proofErr w:type="spellStart"/>
      <w:r>
        <w:rPr>
          <w:rFonts w:ascii="Arial" w:hAnsi="Arial" w:cs="Arial"/>
          <w:sz w:val="20"/>
          <w:szCs w:val="20"/>
        </w:rPr>
        <w:t>nutrijenata</w:t>
      </w:r>
      <w:proofErr w:type="spellEnd"/>
      <w:r>
        <w:rPr>
          <w:rFonts w:ascii="Arial" w:hAnsi="Arial" w:cs="Arial"/>
          <w:sz w:val="20"/>
          <w:szCs w:val="20"/>
        </w:rPr>
        <w:t xml:space="preserve"> potrebnih za rast biljaka (dušik, fosfor, kalij).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b/>
          <w:sz w:val="20"/>
          <w:szCs w:val="20"/>
        </w:rPr>
      </w:pPr>
      <w:proofErr w:type="spellStart"/>
      <w:r w:rsidRPr="008E3670">
        <w:rPr>
          <w:rFonts w:ascii="Arial" w:hAnsi="Arial" w:cs="Arial"/>
          <w:b/>
          <w:sz w:val="20"/>
          <w:szCs w:val="20"/>
        </w:rPr>
        <w:t>Summary</w:t>
      </w:r>
      <w:proofErr w:type="spellEnd"/>
    </w:p>
    <w:p w:rsidR="00810918" w:rsidRDefault="00AE32C6" w:rsidP="00D521FB">
      <w:pPr>
        <w:jc w:val="both"/>
        <w:rPr>
          <w:rFonts w:ascii="Arial" w:hAnsi="Arial" w:cs="Arial"/>
          <w:sz w:val="20"/>
          <w:szCs w:val="20"/>
        </w:rPr>
      </w:pPr>
      <w:r w:rsidRPr="00825ACE">
        <w:rPr>
          <w:rFonts w:ascii="Arial" w:hAnsi="Arial" w:cs="Arial"/>
          <w:sz w:val="20"/>
          <w:szCs w:val="20"/>
        </w:rPr>
        <w:br/>
        <w:t xml:space="preserve">As </w:t>
      </w:r>
      <w:proofErr w:type="spellStart"/>
      <w:r w:rsidRPr="00825ACE">
        <w:rPr>
          <w:rFonts w:ascii="Arial" w:hAnsi="Arial" w:cs="Arial"/>
          <w:sz w:val="20"/>
          <w:szCs w:val="20"/>
        </w:rPr>
        <w:t>part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Globe Project, </w:t>
      </w:r>
      <w:proofErr w:type="spellStart"/>
      <w:r w:rsidRPr="00825ACE">
        <w:rPr>
          <w:rFonts w:ascii="Arial" w:hAnsi="Arial" w:cs="Arial"/>
          <w:sz w:val="20"/>
          <w:szCs w:val="20"/>
        </w:rPr>
        <w:t>we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decided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25ACE">
        <w:rPr>
          <w:rFonts w:ascii="Arial" w:hAnsi="Arial" w:cs="Arial"/>
          <w:sz w:val="20"/>
          <w:szCs w:val="20"/>
        </w:rPr>
        <w:t>study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how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type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fertilization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affects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number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spring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project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February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2017,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will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be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implemented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by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February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2018.</w:t>
      </w:r>
      <w:r w:rsidRPr="00825ACE">
        <w:rPr>
          <w:rFonts w:ascii="Arial" w:hAnsi="Arial" w:cs="Arial"/>
          <w:sz w:val="20"/>
          <w:szCs w:val="20"/>
        </w:rPr>
        <w:br/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analysis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825ACE">
        <w:rPr>
          <w:rFonts w:ascii="Arial" w:hAnsi="Arial" w:cs="Arial"/>
          <w:sz w:val="20"/>
          <w:szCs w:val="20"/>
        </w:rPr>
        <w:t>performed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25ACE">
        <w:rPr>
          <w:rFonts w:ascii="Arial" w:hAnsi="Arial" w:cs="Arial"/>
          <w:sz w:val="20"/>
          <w:szCs w:val="20"/>
        </w:rPr>
        <w:t>three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selected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localities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first </w:t>
      </w:r>
      <w:proofErr w:type="spellStart"/>
      <w:r w:rsidRPr="00825ACE">
        <w:rPr>
          <w:rFonts w:ascii="Arial" w:hAnsi="Arial" w:cs="Arial"/>
          <w:sz w:val="20"/>
          <w:szCs w:val="20"/>
        </w:rPr>
        <w:t>measurement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was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done at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end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February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second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November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2017,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third </w:t>
      </w:r>
      <w:proofErr w:type="spellStart"/>
      <w:r w:rsidRPr="00825ACE">
        <w:rPr>
          <w:rFonts w:ascii="Arial" w:hAnsi="Arial" w:cs="Arial"/>
          <w:sz w:val="20"/>
          <w:szCs w:val="20"/>
        </w:rPr>
        <w:t>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February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2018.</w:t>
      </w:r>
      <w:r w:rsidRPr="00825ACE">
        <w:rPr>
          <w:rFonts w:ascii="Arial" w:hAnsi="Arial" w:cs="Arial"/>
          <w:sz w:val="20"/>
          <w:szCs w:val="20"/>
        </w:rPr>
        <w:br/>
        <w:t xml:space="preserve">At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1</w:t>
      </w:r>
      <w:r w:rsidRPr="00825ACE">
        <w:rPr>
          <w:rFonts w:ascii="Arial" w:hAnsi="Arial" w:cs="Arial"/>
          <w:sz w:val="20"/>
          <w:szCs w:val="20"/>
          <w:vertAlign w:val="superscript"/>
        </w:rPr>
        <w:t>st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locality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natural </w:t>
      </w:r>
      <w:proofErr w:type="spellStart"/>
      <w:r w:rsidRPr="00825ACE">
        <w:rPr>
          <w:rFonts w:ascii="Arial" w:hAnsi="Arial" w:cs="Arial"/>
          <w:sz w:val="20"/>
          <w:szCs w:val="20"/>
        </w:rPr>
        <w:t>process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fertilization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will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take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place </w:t>
      </w:r>
      <w:proofErr w:type="spellStart"/>
      <w:r w:rsidRPr="00825ACE">
        <w:rPr>
          <w:rFonts w:ascii="Arial" w:hAnsi="Arial" w:cs="Arial"/>
          <w:sz w:val="20"/>
          <w:szCs w:val="20"/>
        </w:rPr>
        <w:t>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forest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during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spring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summer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will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fertilize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2</w:t>
      </w:r>
      <w:r w:rsidRPr="00825ACE">
        <w:rPr>
          <w:rFonts w:ascii="Arial" w:hAnsi="Arial" w:cs="Arial"/>
          <w:sz w:val="20"/>
          <w:szCs w:val="20"/>
          <w:vertAlign w:val="superscript"/>
        </w:rPr>
        <w:t>nd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locality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with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artificial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fertilizer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3</w:t>
      </w:r>
      <w:r w:rsidRPr="00825ACE">
        <w:rPr>
          <w:rFonts w:ascii="Arial" w:hAnsi="Arial" w:cs="Arial"/>
          <w:sz w:val="20"/>
          <w:szCs w:val="20"/>
          <w:vertAlign w:val="superscript"/>
        </w:rPr>
        <w:t>rd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untouched</w:t>
      </w:r>
      <w:proofErr w:type="spellEnd"/>
      <w:r w:rsidRPr="00825ACE">
        <w:rPr>
          <w:rFonts w:ascii="Arial" w:hAnsi="Arial" w:cs="Arial"/>
          <w:sz w:val="20"/>
          <w:szCs w:val="20"/>
        </w:rPr>
        <w:t>.</w:t>
      </w:r>
      <w:r w:rsidRPr="00825ACE">
        <w:rPr>
          <w:rFonts w:ascii="Arial" w:hAnsi="Arial" w:cs="Arial"/>
          <w:sz w:val="20"/>
          <w:szCs w:val="20"/>
        </w:rPr>
        <w:br/>
      </w:r>
      <w:proofErr w:type="spellStart"/>
      <w:r w:rsidRPr="00825ACE">
        <w:rPr>
          <w:rFonts w:ascii="Arial" w:hAnsi="Arial" w:cs="Arial"/>
          <w:sz w:val="20"/>
          <w:szCs w:val="20"/>
        </w:rPr>
        <w:t>Our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goal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is to spot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impact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different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types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fertilization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bounty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increase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number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individuals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certain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habitats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25ACE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825ACE">
        <w:rPr>
          <w:rFonts w:ascii="Arial" w:hAnsi="Arial" w:cs="Arial"/>
          <w:sz w:val="20"/>
          <w:szCs w:val="20"/>
        </w:rPr>
        <w:t>resolve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doubts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our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mothers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whether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it is </w:t>
      </w:r>
      <w:proofErr w:type="spellStart"/>
      <w:r>
        <w:rPr>
          <w:rFonts w:ascii="Arial" w:hAnsi="Arial" w:cs="Arial"/>
          <w:sz w:val="20"/>
          <w:szCs w:val="20"/>
        </w:rPr>
        <w:t>better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25ACE">
        <w:rPr>
          <w:rFonts w:ascii="Arial" w:hAnsi="Arial" w:cs="Arial"/>
          <w:sz w:val="20"/>
          <w:szCs w:val="20"/>
        </w:rPr>
        <w:t>transplant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plants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into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25ACE">
        <w:rPr>
          <w:rFonts w:ascii="Arial" w:hAnsi="Arial" w:cs="Arial"/>
          <w:sz w:val="20"/>
          <w:szCs w:val="20"/>
        </w:rPr>
        <w:t>forest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each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year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or to </w:t>
      </w:r>
      <w:proofErr w:type="spellStart"/>
      <w:r w:rsidRPr="00825ACE">
        <w:rPr>
          <w:rFonts w:ascii="Arial" w:hAnsi="Arial" w:cs="Arial"/>
          <w:sz w:val="20"/>
          <w:szCs w:val="20"/>
        </w:rPr>
        <w:t>increase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growth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number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D521FB">
        <w:rPr>
          <w:rFonts w:ascii="Arial" w:hAnsi="Arial" w:cs="Arial"/>
          <w:sz w:val="20"/>
          <w:szCs w:val="20"/>
        </w:rPr>
        <w:t>he</w:t>
      </w:r>
      <w:proofErr w:type="spellEnd"/>
      <w:r w:rsidR="00D521F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</w:t>
      </w:r>
      <w:r w:rsidR="00D521FB">
        <w:rPr>
          <w:rFonts w:ascii="Arial" w:hAnsi="Arial" w:cs="Arial"/>
          <w:sz w:val="20"/>
          <w:szCs w:val="20"/>
        </w:rPr>
        <w:t>ition</w:t>
      </w:r>
      <w:proofErr w:type="spellEnd"/>
      <w:r w:rsidR="00D521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21FB">
        <w:rPr>
          <w:rFonts w:ascii="Arial" w:hAnsi="Arial" w:cs="Arial"/>
          <w:sz w:val="20"/>
          <w:szCs w:val="20"/>
        </w:rPr>
        <w:t>of</w:t>
      </w:r>
      <w:proofErr w:type="spellEnd"/>
      <w:r w:rsidR="00D521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21FB">
        <w:rPr>
          <w:rFonts w:ascii="Arial" w:hAnsi="Arial" w:cs="Arial"/>
          <w:sz w:val="20"/>
          <w:szCs w:val="20"/>
        </w:rPr>
        <w:t>artificial</w:t>
      </w:r>
      <w:proofErr w:type="spellEnd"/>
      <w:r w:rsidR="00D521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21FB">
        <w:rPr>
          <w:rFonts w:ascii="Arial" w:hAnsi="Arial" w:cs="Arial"/>
          <w:sz w:val="20"/>
          <w:szCs w:val="20"/>
        </w:rPr>
        <w:t>fertilizers</w:t>
      </w:r>
      <w:proofErr w:type="spellEnd"/>
      <w:r w:rsidR="00D521FB">
        <w:rPr>
          <w:rFonts w:ascii="Arial" w:hAnsi="Arial" w:cs="Arial"/>
          <w:sz w:val="20"/>
          <w:szCs w:val="20"/>
        </w:rPr>
        <w:t>.</w:t>
      </w:r>
    </w:p>
    <w:p w:rsidR="00AE32C6" w:rsidRDefault="00AE32C6" w:rsidP="00D521FB">
      <w:pPr>
        <w:jc w:val="both"/>
        <w:rPr>
          <w:rFonts w:ascii="Arial" w:hAnsi="Arial" w:cs="Arial"/>
          <w:sz w:val="20"/>
          <w:szCs w:val="20"/>
        </w:rPr>
      </w:pPr>
      <w:r w:rsidRPr="00825ACE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basis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our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first </w:t>
      </w:r>
      <w:proofErr w:type="spellStart"/>
      <w:r w:rsidRPr="00825ACE">
        <w:rPr>
          <w:rFonts w:ascii="Arial" w:hAnsi="Arial" w:cs="Arial"/>
          <w:sz w:val="20"/>
          <w:szCs w:val="20"/>
        </w:rPr>
        <w:t>research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we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concluded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that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on all </w:t>
      </w:r>
      <w:proofErr w:type="spellStart"/>
      <w:r w:rsidRPr="00825ACE">
        <w:rPr>
          <w:rFonts w:ascii="Arial" w:hAnsi="Arial" w:cs="Arial"/>
          <w:sz w:val="20"/>
          <w:szCs w:val="20"/>
        </w:rPr>
        <w:t>three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localities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granular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structure</w:t>
      </w:r>
      <w:r>
        <w:rPr>
          <w:rFonts w:ascii="Arial" w:hAnsi="Arial" w:cs="Arial"/>
          <w:sz w:val="20"/>
          <w:szCs w:val="20"/>
        </w:rPr>
        <w:t>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it is </w:t>
      </w:r>
      <w:proofErr w:type="spellStart"/>
      <w:r w:rsidRPr="00825ACE">
        <w:rPr>
          <w:rFonts w:ascii="Arial" w:hAnsi="Arial" w:cs="Arial"/>
          <w:sz w:val="20"/>
          <w:szCs w:val="20"/>
        </w:rPr>
        <w:t>crude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crumbling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has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825ACE">
        <w:rPr>
          <w:rFonts w:ascii="Arial" w:hAnsi="Arial" w:cs="Arial"/>
          <w:sz w:val="20"/>
          <w:szCs w:val="20"/>
        </w:rPr>
        <w:t>rocks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roots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25ACE">
        <w:rPr>
          <w:rFonts w:ascii="Arial" w:hAnsi="Arial" w:cs="Arial"/>
          <w:sz w:val="20"/>
          <w:szCs w:val="20"/>
        </w:rPr>
        <w:t>By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texture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all </w:t>
      </w:r>
      <w:proofErr w:type="spellStart"/>
      <w:r w:rsidRPr="00825ACE">
        <w:rPr>
          <w:rFonts w:ascii="Arial" w:hAnsi="Arial" w:cs="Arial"/>
          <w:sz w:val="20"/>
          <w:szCs w:val="20"/>
        </w:rPr>
        <w:t>three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soils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belong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25ACE">
        <w:rPr>
          <w:rFonts w:ascii="Arial" w:hAnsi="Arial" w:cs="Arial"/>
          <w:sz w:val="20"/>
          <w:szCs w:val="20"/>
        </w:rPr>
        <w:t>clay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cheeses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forested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825ACE">
        <w:rPr>
          <w:rFonts w:ascii="Arial" w:hAnsi="Arial" w:cs="Arial"/>
          <w:sz w:val="20"/>
          <w:szCs w:val="20"/>
        </w:rPr>
        <w:t>well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permeable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from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lawn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permeable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in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forest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shows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25ACE">
        <w:rPr>
          <w:rFonts w:ascii="Arial" w:hAnsi="Arial" w:cs="Arial"/>
          <w:sz w:val="20"/>
          <w:szCs w:val="20"/>
        </w:rPr>
        <w:t>gentle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acid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reaction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while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from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the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lawn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825ACE">
        <w:rPr>
          <w:rFonts w:ascii="Arial" w:hAnsi="Arial" w:cs="Arial"/>
          <w:sz w:val="20"/>
          <w:szCs w:val="20"/>
        </w:rPr>
        <w:t>neutral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and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led us to </w:t>
      </w:r>
      <w:proofErr w:type="spellStart"/>
      <w:r>
        <w:rPr>
          <w:rFonts w:ascii="Arial" w:hAnsi="Arial" w:cs="Arial"/>
          <w:sz w:val="20"/>
          <w:szCs w:val="20"/>
        </w:rPr>
        <w:t>conclusion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that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all </w:t>
      </w:r>
      <w:proofErr w:type="spellStart"/>
      <w:r w:rsidRPr="00825ACE">
        <w:rPr>
          <w:rFonts w:ascii="Arial" w:hAnsi="Arial" w:cs="Arial"/>
          <w:sz w:val="20"/>
          <w:szCs w:val="20"/>
        </w:rPr>
        <w:t>soil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has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25ACE">
        <w:rPr>
          <w:rFonts w:ascii="Arial" w:hAnsi="Arial" w:cs="Arial"/>
          <w:sz w:val="20"/>
          <w:szCs w:val="20"/>
        </w:rPr>
        <w:t>very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good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availability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of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nutrients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necessary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25ACE">
        <w:rPr>
          <w:rFonts w:ascii="Arial" w:hAnsi="Arial" w:cs="Arial"/>
          <w:sz w:val="20"/>
          <w:szCs w:val="20"/>
        </w:rPr>
        <w:t>plant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CE">
        <w:rPr>
          <w:rFonts w:ascii="Arial" w:hAnsi="Arial" w:cs="Arial"/>
          <w:sz w:val="20"/>
          <w:szCs w:val="20"/>
        </w:rPr>
        <w:t>growth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25ACE">
        <w:rPr>
          <w:rFonts w:ascii="Arial" w:hAnsi="Arial" w:cs="Arial"/>
          <w:sz w:val="20"/>
          <w:szCs w:val="20"/>
        </w:rPr>
        <w:t>nitrogen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phosphorus</w:t>
      </w:r>
      <w:proofErr w:type="spellEnd"/>
      <w:r w:rsidRPr="00825A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25ACE">
        <w:rPr>
          <w:rFonts w:ascii="Arial" w:hAnsi="Arial" w:cs="Arial"/>
          <w:sz w:val="20"/>
          <w:szCs w:val="20"/>
        </w:rPr>
        <w:t>potassium</w:t>
      </w:r>
      <w:proofErr w:type="spellEnd"/>
      <w:r w:rsidRPr="00825ACE">
        <w:rPr>
          <w:rFonts w:ascii="Arial" w:hAnsi="Arial" w:cs="Arial"/>
          <w:sz w:val="20"/>
          <w:szCs w:val="20"/>
        </w:rPr>
        <w:t>).</w:t>
      </w:r>
    </w:p>
    <w:p w:rsidR="00AE32C6" w:rsidRPr="00030106" w:rsidRDefault="00AE32C6" w:rsidP="00AE32C6">
      <w:pPr>
        <w:jc w:val="both"/>
        <w:rPr>
          <w:rFonts w:ascii="Arial" w:hAnsi="Arial" w:cs="Arial"/>
          <w:sz w:val="20"/>
          <w:szCs w:val="20"/>
        </w:rPr>
      </w:pPr>
    </w:p>
    <w:p w:rsidR="00AE32C6" w:rsidRDefault="00AE32C6" w:rsidP="00AE32C6">
      <w:pPr>
        <w:jc w:val="both"/>
      </w:pPr>
    </w:p>
    <w:p w:rsidR="008E3670" w:rsidRPr="00030106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Istraživačka pitanja – hipoteze</w:t>
      </w:r>
    </w:p>
    <w:p w:rsidR="00810918" w:rsidRDefault="00810918" w:rsidP="008E3670">
      <w:pPr>
        <w:rPr>
          <w:rFonts w:ascii="Arial" w:hAnsi="Arial" w:cs="Arial"/>
          <w:b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 sklopu Globe projekta odlučili smo proučiti kako vrsta gnojidbe utječe na brojnost jedinki proljetnica. Projekt započinjemo u veljači 2017. godine, a da bi došli do željenih rezultata provodit ćemo ga do veljače 2018. godine.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Znamo da naše majke i bake u proljeće posežu za šumskom zemljom koju koriste za presađivanje cvijeća. Kažu da je ta zemlja najbolja i da će cvijeće posađeno u šumsku zemlju brže rasti i bujnije cvjetati. To nas je potaklo da usporedimo utjecaj vrste gnojidbe na sastav tla i brojnost jedinki.</w:t>
      </w:r>
    </w:p>
    <w:p w:rsidR="00810918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Odabrali smo tri lokaliteta: 1. lokalitet je šuma Stari </w:t>
      </w:r>
      <w:proofErr w:type="spellStart"/>
      <w:r>
        <w:rPr>
          <w:rFonts w:ascii="Arial" w:hAnsi="Arial" w:cs="Arial"/>
          <w:sz w:val="20"/>
          <w:szCs w:val="20"/>
        </w:rPr>
        <w:t>Slatinik</w:t>
      </w:r>
      <w:proofErr w:type="spellEnd"/>
      <w:r>
        <w:rPr>
          <w:rFonts w:ascii="Arial" w:hAnsi="Arial" w:cs="Arial"/>
          <w:sz w:val="20"/>
          <w:szCs w:val="20"/>
        </w:rPr>
        <w:t>, 2. lokalitet je dvorište škole „Đuro Pilar“ u Slavonskom Brodu – Brodsko Vinogorje, a 3. lokalitet je dvorište škole „Hugo Badalić“ u Slavonskom Brodu.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sva tri lokaliteta se nalaze biljke proljetnice koje na njima rastu duži niz godina – visibabe, jaglaci, šumarice, kukurijek i šafrani.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šumi se odvija prirodni proces stvaranja humusa – prirodna gnojidba.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Znamo da naše majke za bolji i bujniji rast biljaka koriste različita umjetna gnojiva.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Stoga smo odlučili ispitati je li za bolji i bujniji rast biljaka poželjnije koristiti šumsku zemlju bogatu humusom ili je dovoljno postojeću zemlju nagnojiti umjetnim gnojivom ili nije potrebno koristiti nikakvo gnojivo.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bi došli do rezultata obavit ćemo analizu tla na sva tri lokaliteta te na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izbrojati biljke proljetnice. Prvo mjerenje obavit ćemo krajem veljače.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1. lokalitetu u šumi će se odvijati prirodni proces gnojidbe, tijekom proljeća i ljeta ćemo umjetnim gnojivom gnojiti zemlju na 2. lokalitetu, a 3. lokalitet ćemo ostaviti netaknutim.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Analizu tla na sva tri lokaliteta ponovit ćemo u studenom 2017. i u veljači 2018. U veljači ćemo ponovno izbrojati proljetnice na označenom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na sva tri lokaliteta.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Naša hipoteza: šumska zemlja bogata je dušikom i ostalim hranjivim tvarima i povoljno utječe na bujnost cvjetanja i povećanje broja jedinki. Ali, ipak mislimo da je umjetno gnojivo točno prilagođenog sastava koji biljkama osigurava maksimalan rast, bujnost i razmnožavanje. Stoga pretpostavljamo da je ipak učinkovitije koristiti umjetno gnojivo za bujniji rast biljaka.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Cilj nam je uočiti utjecaj različite vrste gnojidbe na bujnost i povećanje broja jedinki na određenim staništima te razriješiti dvojbu naših majki je li bolje svake godine presađivati biljke u šumsku zemlju ili se bujnost i povećanje broja jedinki može povećati samo dodatkom umjetnog gnojiva. Isto tako, ovim projektom ćemo usporediti rast proljetnica u šumi i na travnjaku, usporediti rast na netretiranom i gnojem tretiranom tlu te usporediti rast na šumskom i gnojem tretiranom tlu.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3670" w:rsidRDefault="008E3670" w:rsidP="008E3670">
      <w:pPr>
        <w:jc w:val="both"/>
        <w:rPr>
          <w:rFonts w:ascii="Arial" w:hAnsi="Arial" w:cs="Arial"/>
          <w:b/>
          <w:sz w:val="20"/>
          <w:szCs w:val="20"/>
        </w:rPr>
      </w:pPr>
    </w:p>
    <w:p w:rsidR="008E3670" w:rsidRDefault="00AE32C6" w:rsidP="008E36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E3670">
        <w:rPr>
          <w:rFonts w:ascii="Arial" w:hAnsi="Arial" w:cs="Arial"/>
          <w:b/>
          <w:sz w:val="20"/>
          <w:szCs w:val="20"/>
        </w:rPr>
        <w:t>. Metode istraživanja</w:t>
      </w:r>
    </w:p>
    <w:p w:rsidR="00810918" w:rsidRDefault="00810918" w:rsidP="008E3670">
      <w:pPr>
        <w:jc w:val="both"/>
        <w:rPr>
          <w:rFonts w:ascii="Arial" w:hAnsi="Arial" w:cs="Arial"/>
          <w:b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Istraživanje tla i proces praćenja povećanja brojnosti proljetnica provest će učenici uključeni u GLOBE projekt. Istraživanja i analize tla će se provoditi od veljače 2017. do veljače 2018. g.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Odredili smo tri lokaliteta: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lokalitet – šuma Stari </w:t>
      </w:r>
      <w:proofErr w:type="spellStart"/>
      <w:r>
        <w:rPr>
          <w:rFonts w:ascii="Arial" w:hAnsi="Arial" w:cs="Arial"/>
          <w:sz w:val="20"/>
          <w:szCs w:val="20"/>
        </w:rPr>
        <w:t>Slatinik</w:t>
      </w:r>
      <w:proofErr w:type="spellEnd"/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lokalitet – dvorište škole „Đuro Pilar“ Slavonski Brod – Brodsko Vinogorje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lokalitet – dvorište škole „Hugo Badalić“ Slavonski Brod.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Prva analiza – veljača 2017.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sva 3 lokaliteta uzeli smo uzorke tla metodom zvijezde radi daljnje analize tla u školi.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terenu smo zemljanim termometrom odredili temperaturu tla na oko 7 cm dubine i izmjerili temperaturu zraka. Ova mjerenja smo dva puta ponavljali.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</w:t>
      </w:r>
      <w:proofErr w:type="spellStart"/>
      <w:r>
        <w:rPr>
          <w:rFonts w:ascii="Arial" w:hAnsi="Arial" w:cs="Arial"/>
          <w:sz w:val="20"/>
          <w:szCs w:val="20"/>
        </w:rPr>
        <w:t>Munsellovoj</w:t>
      </w:r>
      <w:proofErr w:type="spellEnd"/>
      <w:r>
        <w:rPr>
          <w:rFonts w:ascii="Arial" w:hAnsi="Arial" w:cs="Arial"/>
          <w:sz w:val="20"/>
          <w:szCs w:val="20"/>
        </w:rPr>
        <w:t xml:space="preserve"> skali boja za tlo odredili smo primarnu boju tla. 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Odredili smo i strukturu i konzistentnost tla.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Nakon povratka s terena u učionici smo procijenili teksturu tla prema </w:t>
      </w:r>
      <w:proofErr w:type="spellStart"/>
      <w:r>
        <w:rPr>
          <w:rFonts w:ascii="Arial" w:hAnsi="Arial" w:cs="Arial"/>
          <w:sz w:val="20"/>
          <w:szCs w:val="20"/>
        </w:rPr>
        <w:t>teksturalnom</w:t>
      </w:r>
      <w:proofErr w:type="spellEnd"/>
      <w:r>
        <w:rPr>
          <w:rFonts w:ascii="Arial" w:hAnsi="Arial" w:cs="Arial"/>
          <w:sz w:val="20"/>
          <w:szCs w:val="20"/>
        </w:rPr>
        <w:t xml:space="preserve"> trokutu.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Digitalnim pH metrom ispitali smo pH tla. Svako mjerenje smo tri puta ponovili. Nakon toga, pH smo izmjerili i indikator listićima.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Odredili smo i sadržaj slobodnih karbonata u tlu.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Odredili smo količinu nitrata i fosfata u tlu.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Vlažnost tla odredili smo vaganjem vlažnog uzorka i sušenog uzorka u mikrovalnoj pećnici. Na temelju dobivenih rezultata izračunat ćemo maseni udio vlage u tlu prema jednadžbi: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 (sastojak)</w:t>
      </w:r>
    </w:p>
    <w:p w:rsidR="008E3670" w:rsidRDefault="008E3670" w:rsidP="008E3670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W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sastojak, smjesa</m:t>
              </m:r>
            </m:e>
          </m:d>
          <m:r>
            <w:rPr>
              <w:rFonts w:ascii="Cambria Math" w:hAnsi="Cambria Math" w:cs="Arial"/>
            </w:rPr>
            <m:t>= -------- *100%</m:t>
          </m:r>
        </m:oMath>
      </m:oMathPara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 (smjesa)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lokalitetima smo izmjerili i označili 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površine gdje rastu proljetnice te izbrojali ih.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1. lokalitetu – u šumi događat će se prirodni proces gnojidbe.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2. lokalitetu  ćemo od ožujka do rujna jednom tjedno zalijevati taj prostor od 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umjetnim gnojivom </w:t>
      </w:r>
      <w:proofErr w:type="spellStart"/>
      <w:r>
        <w:rPr>
          <w:rFonts w:ascii="Arial" w:hAnsi="Arial" w:cs="Arial"/>
          <w:sz w:val="20"/>
          <w:szCs w:val="20"/>
        </w:rPr>
        <w:t>Kristalon</w:t>
      </w:r>
      <w:proofErr w:type="spellEnd"/>
      <w:r>
        <w:rPr>
          <w:rFonts w:ascii="Arial" w:hAnsi="Arial" w:cs="Arial"/>
          <w:sz w:val="20"/>
          <w:szCs w:val="20"/>
        </w:rPr>
        <w:t xml:space="preserve"> – NPK gnojivo.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3. lokalitetu nećemo vršiti gnojidbu.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analiza – studeni 2017.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Uzet ćemo uzorke tla na sva tri lokaliteta te ponoviti analizu tla kao u prvoj analizi.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Treća analiza – veljača 2018.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Uzet ćemo uzorke tla na sva tri lokaliteta te ponoviti analizu tla kao u prvoj i drugoj analizi.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Prebrojat ćemo proljetnice na sva tri lokaliteta.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AE32C6" w:rsidP="008E36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E3670">
        <w:rPr>
          <w:rFonts w:ascii="Arial" w:hAnsi="Arial" w:cs="Arial"/>
          <w:b/>
          <w:sz w:val="20"/>
          <w:szCs w:val="20"/>
        </w:rPr>
        <w:t>. Prikaz podataka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naš projekt odabrali smo tri lokaliteta. Pri tome smo vodili računa da su čimbenici na lokalitetima konstantni, lokacije blizu, izložene istoj strani osunčanosti i s istim atmosferskim uvjetima.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Prvi lokalitet je šuma Stari </w:t>
      </w:r>
      <w:proofErr w:type="spellStart"/>
      <w:r>
        <w:rPr>
          <w:rFonts w:ascii="Arial" w:hAnsi="Arial" w:cs="Arial"/>
          <w:sz w:val="20"/>
          <w:szCs w:val="20"/>
        </w:rPr>
        <w:t>Slatinik</w:t>
      </w:r>
      <w:proofErr w:type="spellEnd"/>
      <w:r>
        <w:rPr>
          <w:rFonts w:ascii="Arial" w:hAnsi="Arial" w:cs="Arial"/>
          <w:sz w:val="20"/>
          <w:szCs w:val="20"/>
        </w:rPr>
        <w:t xml:space="preserve"> koja se nalazi 8 km sjeverno od Slavonskog Broda, drugi lokalitet je dvorište škole „Đuro Pilar“ Slavonski Brod – Brodsko Vinogorje, a treći dvorište škole „Hugo Badalić“ Slavonski Brod. Sva tri lokaliteta se nalaze na istoj nadmorskoj visini i na sjevernoj strani.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i treći lokalitet su na međusobnoj udaljenosti od 4 km, a šuma je od drugog lokaliteta udaljena oko 8 km.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Drugi i treći lokalitet smo posjetili 27. veljače 2017.g. </w:t>
      </w:r>
    </w:p>
    <w:p w:rsidR="008E3670" w:rsidRPr="00C96315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Prvi lokalitet – šumu posjetili smo 28. veljače 2017.g.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lokalitetima smo metodom zvijezde uzeli uzorke za laboratorijsku analizu tla.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sva tri lokaliteta zajedničkom odlukom svih članova skupine odredili smo da je struktura tla </w:t>
      </w:r>
      <w:proofErr w:type="spellStart"/>
      <w:r>
        <w:rPr>
          <w:rFonts w:ascii="Arial" w:hAnsi="Arial" w:cs="Arial"/>
          <w:sz w:val="20"/>
          <w:szCs w:val="20"/>
        </w:rPr>
        <w:t>granularna</w:t>
      </w:r>
      <w:proofErr w:type="spellEnd"/>
      <w:r>
        <w:rPr>
          <w:rFonts w:ascii="Arial" w:hAnsi="Arial" w:cs="Arial"/>
          <w:sz w:val="20"/>
          <w:szCs w:val="20"/>
        </w:rPr>
        <w:t xml:space="preserve"> – sastoji se od zrna tla koja nisu veća od 0,5 cm u promjeru.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</w:t>
      </w:r>
      <w:proofErr w:type="spellStart"/>
      <w:r>
        <w:rPr>
          <w:rFonts w:ascii="Arial" w:hAnsi="Arial" w:cs="Arial"/>
          <w:sz w:val="20"/>
          <w:szCs w:val="20"/>
        </w:rPr>
        <w:t>Munsellovoj</w:t>
      </w:r>
      <w:proofErr w:type="spellEnd"/>
      <w:r>
        <w:rPr>
          <w:rFonts w:ascii="Arial" w:hAnsi="Arial" w:cs="Arial"/>
          <w:sz w:val="20"/>
          <w:szCs w:val="20"/>
        </w:rPr>
        <w:t xml:space="preserve"> skali boja za tlo odredili smo primarnu boju tla. Vlažni grumen tla smo razdrobili i prislonili uz tablicu boja. Uzorak i tablica bili su obasjani sunčevom svjetlošću. Boja tla na 1. lokalitetu je 2,5yR4/4, na 2. lokalitetu je 5y2/4, a na 3. lokalitetu 2,5yR5/4.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Konzistentnost tla odredili smo tako što smo grumen tla nježno stiskali između palca i kažiprsta dok se nije raspao i vidjeli da se konzistentnost tla gubi pri malom pritisku, a grumen se lomi s malo snage pa smo zaključili da je tlo na tri lokaliteta prhko i </w:t>
      </w:r>
      <w:proofErr w:type="spellStart"/>
      <w:r>
        <w:rPr>
          <w:rFonts w:ascii="Arial" w:hAnsi="Arial" w:cs="Arial"/>
          <w:sz w:val="20"/>
          <w:szCs w:val="20"/>
        </w:rPr>
        <w:t>zdrobljivo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friable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Zajednički smo procijenili da se u tlu sa sva tri lokaliteta ne nalazi ništa stijena.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sva tri lokaliteta kopajući rupu odredili smo da se u tlu na dubini od 10-15 cm nalazi malo korijenja.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Teksturu tla odredili smo na terenu procjenom na temelju oblikovanja prstima, a nakon povratka s terena obavili smo i laboratorijsku analizu primjenom </w:t>
      </w:r>
      <w:proofErr w:type="spellStart"/>
      <w:r>
        <w:rPr>
          <w:rFonts w:ascii="Arial" w:hAnsi="Arial" w:cs="Arial"/>
          <w:sz w:val="20"/>
          <w:szCs w:val="20"/>
        </w:rPr>
        <w:t>trokomponentnog</w:t>
      </w:r>
      <w:proofErr w:type="spellEnd"/>
      <w:r>
        <w:rPr>
          <w:rFonts w:ascii="Arial" w:hAnsi="Arial" w:cs="Arial"/>
          <w:sz w:val="20"/>
          <w:szCs w:val="20"/>
        </w:rPr>
        <w:t xml:space="preserve"> dijagrama.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terenu smo uzeli u ruku uzorak tla i navlažili ga vodom te oblikovali grumen. Grumen tla stavili smo između palca i kažiprsta i stisnuli ga u vrpcu. Vrpca je bila duljine 3,5 cm, tlo je bilo ljepljivo, lakše se stiskalo i ostavljalo prljave ruke. Iz toga smo zaključili da se radi o glinenoj ilovači.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zraka na prvom lokalitetu iznosila je 21°C, a temperatura tla 6°C. Temperatura zraka na drugom i trećem lokalitetu iznosila je 16°C, a temperatura tla 4°C.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048250" cy="3038475"/>
            <wp:effectExtent l="0" t="0" r="19050" b="9525"/>
            <wp:docPr id="1" name="Grafikon 1" descr="temperatur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E3670" w:rsidRDefault="008E3670" w:rsidP="008E3670">
      <w:pPr>
        <w:pStyle w:val="Caption"/>
      </w:pPr>
      <w:r>
        <w:t xml:space="preserve">Slika </w:t>
      </w:r>
      <w:r w:rsidR="00AB6784">
        <w:fldChar w:fldCharType="begin"/>
      </w:r>
      <w:r>
        <w:instrText xml:space="preserve"> SEQ Slika \* ARABIC </w:instrText>
      </w:r>
      <w:r w:rsidR="00AB6784">
        <w:fldChar w:fldCharType="separate"/>
      </w:r>
      <w:r>
        <w:rPr>
          <w:noProof/>
        </w:rPr>
        <w:t>1</w:t>
      </w:r>
      <w:r w:rsidR="00AB6784">
        <w:rPr>
          <w:noProof/>
        </w:rPr>
        <w:fldChar w:fldCharType="end"/>
      </w:r>
      <w:r>
        <w:t>. Usporedba temperature zraka i temperature tla na odabranim lokalitetima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povratka s terena, napravili smo i laboratorijsku analizu tla.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menzuru od 100 ml nasuli smo 30 ml uzorka tla i lagano tresli da se slegne. Zatim smo do 90 ml nadopunili destiliranom vodom, menzuru zatvorili čepom i tresli gore-dolje dvije minute.  Menzuru smo ostavili stajati 40 sekundi i očitali volumen istaloženog pijeska. Nakon 30 minuta daljnjeg stajanja očitali smo volumen istaloženog praha. Cijeli postupak ponovili smo tri puta i na temelju rezultata izračunali postotni udio gline, praha i pijeska u uzorcima.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uzorku s 1. lokaliteta izračunali smo 25,5% pijeska, 31,1% praha i 33% gline.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uzorku s 2. lokaliteta izračunali smo 30,2% pijeska, 33,4% praha i 33,5% gline.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uzorku s 3. lokaliteta izračunali smo 31,1% pijeska, 34,4% praha i 34,5% gline.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Koristeći </w:t>
      </w:r>
      <w:proofErr w:type="spellStart"/>
      <w:r>
        <w:rPr>
          <w:rFonts w:ascii="Arial" w:hAnsi="Arial" w:cs="Arial"/>
          <w:sz w:val="20"/>
          <w:szCs w:val="20"/>
        </w:rPr>
        <w:t>trokomponentni</w:t>
      </w:r>
      <w:proofErr w:type="spellEnd"/>
      <w:r>
        <w:rPr>
          <w:rFonts w:ascii="Arial" w:hAnsi="Arial" w:cs="Arial"/>
          <w:sz w:val="20"/>
          <w:szCs w:val="20"/>
        </w:rPr>
        <w:t xml:space="preserve"> dijagram uz pomoć dobivenih rezultata potvrdili smo da prema teksturi tlo sa sva tri lokaliteta pripada glinenoj ilovači.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laboratoriju smo odredili i propusnost tla tako što smo sastavili infiltrator pomoću dvije posude. Na dno posude koja je imala sitno probušeno dno stavili smo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papir, a ispod nje čašu. U gornju posudu stavili smo 100 ml tla i ulijevali 100 ml destilirane vode. Ostavili smo mirovati dok je trajala infiltracija. Zatim smo menzurom izmjerili volumen vode koji je prošao kroz tlo u vremenskim razmacima od 5,10,15 i 20 minuta. Kategorizaciju propusnosti tla odredili smo prema volumenu filtrata koji je prošao kroz 100 ml tla u trajanju od 15 minuta ako je u analizirano tlo uliveno 100 ml vode.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Odredili smo da je tlo s 1. lokaliteta 68% propusno, tlo s 2. lokaliteta je 58% propusno, a s 3. lokaliteta 61% propusno. Zaključili smo da je tlo iz šume dobro propusno, dok su tla s oba travnjaka propusna. 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Vaganjem vlažnog uzorka i uzorka sušenog u mikrovalnoj pećnici odredili smo vlažnost tla.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Tlo s 1. lokaliteta sadržavalo je 18,1% vlage, tlo s 2. lokaliteta 16,5% vlage, a tlo s 3. lokaliteta 16,1% vlage.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Digitalnim pH metrom odredili smo pH tla. Na 1. lokalitetu pH je iznosio 6,1, a na 2. i 3. lokalitetu pH je iznosio 7. Isto smo ponovili i univerzalnim indikator papirima koji su pokazali istu reakciju: pH u šumi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6, a na travnjacima 7. Dakle, tlo u šumi je blago kiselo dok je na travnjacima neutralno.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kiselosti tla ovisi dostupnost biljci važnih </w:t>
      </w:r>
      <w:proofErr w:type="spellStart"/>
      <w:r>
        <w:rPr>
          <w:rFonts w:ascii="Arial" w:hAnsi="Arial" w:cs="Arial"/>
          <w:sz w:val="20"/>
          <w:szCs w:val="20"/>
        </w:rPr>
        <w:t>nutrijenata</w:t>
      </w:r>
      <w:proofErr w:type="spellEnd"/>
      <w:r>
        <w:rPr>
          <w:rFonts w:ascii="Arial" w:hAnsi="Arial" w:cs="Arial"/>
          <w:sz w:val="20"/>
          <w:szCs w:val="20"/>
        </w:rPr>
        <w:t xml:space="preserve"> (dušika, fosfora, kalija). Neutralna tla imaju 100%-</w:t>
      </w:r>
      <w:proofErr w:type="spellStart"/>
      <w:r>
        <w:rPr>
          <w:rFonts w:ascii="Arial" w:hAnsi="Arial" w:cs="Arial"/>
          <w:sz w:val="20"/>
          <w:szCs w:val="20"/>
        </w:rPr>
        <w:t>tnu</w:t>
      </w:r>
      <w:proofErr w:type="spellEnd"/>
      <w:r>
        <w:rPr>
          <w:rFonts w:ascii="Arial" w:hAnsi="Arial" w:cs="Arial"/>
          <w:sz w:val="20"/>
          <w:szCs w:val="20"/>
        </w:rPr>
        <w:t xml:space="preserve"> dostupnost dušika, fosfora i kalija, dok blago kisela tla (pH=6) imaju 89%-</w:t>
      </w:r>
      <w:proofErr w:type="spellStart"/>
      <w:r>
        <w:rPr>
          <w:rFonts w:ascii="Arial" w:hAnsi="Arial" w:cs="Arial"/>
          <w:sz w:val="20"/>
          <w:szCs w:val="20"/>
        </w:rPr>
        <w:t>tnu</w:t>
      </w:r>
      <w:proofErr w:type="spellEnd"/>
      <w:r>
        <w:rPr>
          <w:rFonts w:ascii="Arial" w:hAnsi="Arial" w:cs="Arial"/>
          <w:sz w:val="20"/>
          <w:szCs w:val="20"/>
        </w:rPr>
        <w:t xml:space="preserve"> dostupnost dušika, 52%-</w:t>
      </w:r>
      <w:proofErr w:type="spellStart"/>
      <w:r>
        <w:rPr>
          <w:rFonts w:ascii="Arial" w:hAnsi="Arial" w:cs="Arial"/>
          <w:sz w:val="20"/>
          <w:szCs w:val="20"/>
        </w:rPr>
        <w:t>tnu</w:t>
      </w:r>
      <w:proofErr w:type="spellEnd"/>
      <w:r>
        <w:rPr>
          <w:rFonts w:ascii="Arial" w:hAnsi="Arial" w:cs="Arial"/>
          <w:sz w:val="20"/>
          <w:szCs w:val="20"/>
        </w:rPr>
        <w:t xml:space="preserve"> dostupnost fosfora i 100%-</w:t>
      </w:r>
      <w:proofErr w:type="spellStart"/>
      <w:r>
        <w:rPr>
          <w:rFonts w:ascii="Arial" w:hAnsi="Arial" w:cs="Arial"/>
          <w:sz w:val="20"/>
          <w:szCs w:val="20"/>
        </w:rPr>
        <w:t>tnu</w:t>
      </w:r>
      <w:proofErr w:type="spellEnd"/>
      <w:r>
        <w:rPr>
          <w:rFonts w:ascii="Arial" w:hAnsi="Arial" w:cs="Arial"/>
          <w:sz w:val="20"/>
          <w:szCs w:val="20"/>
        </w:rPr>
        <w:t xml:space="preserve"> dostupnost kalija.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200525" cy="2390775"/>
            <wp:effectExtent l="0" t="0" r="952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3670" w:rsidRDefault="008E3670" w:rsidP="008E3670">
      <w:pPr>
        <w:pStyle w:val="Caption"/>
      </w:pPr>
      <w:r>
        <w:t>Slika 2. Usporedba pH vrijednosti na odabranim lokacijama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Pomoću octene kiseline odredili smo da je mali udio karbonata u tlu budući da se prskanjem octene kiseline po tlu čulo slabo šuštanje što je pokazivalo slabu reakciju na sva tri uzorka.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Plodnost tla je sposobnost tla da biljci pruži istovremeno kontinuirano i optimalno hranjiva, vodu, kisik, toplinu i medij za ukorjenjivanje. Plodna tla su neutralna ili blizu neutralne reakcije, bogata hranjivim tvarima koje biljke mogu iskoristiti.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laboratoriju smo pomoću indikator testova odredili količinu nitrata i fosfata u tlu.  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Dušik je biljci važan za izgradnju aminokiselina i bjelančevina., a fosfor izgrađuje stanične membrane biološki važnih molekula.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Tlo sa 1. lokaliteta sadrži 50 mg/L nitrata i 0,7 mg/L fosfata.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Tlo sa 2. lokaliteta sadrži 15 mg/L nitrata i 0,3 mg/L fosfata.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Tlo sa 3. lokaliteta sadrži 30 mg/L nitrata i 0,3 mg/L fosfata.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872740" cy="1985645"/>
            <wp:effectExtent l="0" t="0" r="22860" b="1460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3670" w:rsidRDefault="008E3670" w:rsidP="008E3670">
      <w:pPr>
        <w:pStyle w:val="Caption"/>
      </w:pPr>
      <w:r>
        <w:t>Slika 3. Usporedba količine nitrata na odabranim lokacijama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759200" cy="2120900"/>
            <wp:effectExtent l="0" t="0" r="12700" b="1270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3670" w:rsidRDefault="008E3670" w:rsidP="008E3670">
      <w:pPr>
        <w:pStyle w:val="Caption"/>
      </w:pPr>
      <w:r>
        <w:t>Slika 4. Usporedba količine fosfata na odabranim lokacijama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Na svakom lokalitetu označili smo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unutar kojeg smo izbrojali proljetnice.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1. Lokalitetu izbrojali smo 2 jaglaca, 26 visibaba i 9 bijelih šumarica.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2. Lokalitetu izbrojali smo 2 jaglaca, 12 visibaba, 6 ljubičica i 12 šafrana.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3. Lokalitetu izbrojali smo 5 jaglaca, 11 visibaba i 7 šafrana.</w:t>
      </w:r>
    </w:p>
    <w:p w:rsidR="008E3670" w:rsidRPr="004F36AA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AE32C6" w:rsidP="008E36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E3670">
        <w:rPr>
          <w:rFonts w:ascii="Arial" w:hAnsi="Arial" w:cs="Arial"/>
          <w:b/>
          <w:sz w:val="20"/>
          <w:szCs w:val="20"/>
        </w:rPr>
        <w:t>. Zaključak</w:t>
      </w:r>
    </w:p>
    <w:p w:rsidR="00810918" w:rsidRDefault="00810918" w:rsidP="008E3670">
      <w:pPr>
        <w:rPr>
          <w:rFonts w:ascii="Arial" w:hAnsi="Arial" w:cs="Arial"/>
          <w:b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provedenih istraživanja u prirodi i u učionici zaključili smo da je tlo na sva tri lokaliteta </w:t>
      </w:r>
      <w:proofErr w:type="spellStart"/>
      <w:r>
        <w:rPr>
          <w:rFonts w:ascii="Arial" w:hAnsi="Arial" w:cs="Arial"/>
          <w:sz w:val="20"/>
          <w:szCs w:val="20"/>
        </w:rPr>
        <w:t>granularne</w:t>
      </w:r>
      <w:proofErr w:type="spellEnd"/>
      <w:r>
        <w:rPr>
          <w:rFonts w:ascii="Arial" w:hAnsi="Arial" w:cs="Arial"/>
          <w:sz w:val="20"/>
          <w:szCs w:val="20"/>
        </w:rPr>
        <w:t xml:space="preserve"> strukture, prhko i </w:t>
      </w:r>
      <w:proofErr w:type="spellStart"/>
      <w:r>
        <w:rPr>
          <w:rFonts w:ascii="Arial" w:hAnsi="Arial" w:cs="Arial"/>
          <w:sz w:val="20"/>
          <w:szCs w:val="20"/>
        </w:rPr>
        <w:t>zdrobljivo</w:t>
      </w:r>
      <w:proofErr w:type="spellEnd"/>
      <w:r>
        <w:rPr>
          <w:rFonts w:ascii="Arial" w:hAnsi="Arial" w:cs="Arial"/>
          <w:sz w:val="20"/>
          <w:szCs w:val="20"/>
        </w:rPr>
        <w:t xml:space="preserve">, nema stijena i sa malo korijenja. Po teksturi sva tri tla pripadaju glinenoj ilovači. Šumsko tlo je dobro propusno,a tla sa travnjaka su propusna. Tlo u šumi pokazuje blago kiselu reakciju, dok su tla sa travnjaka neutralna iz čega zaključujemo da sva tla imaju jako dobru dostupnost </w:t>
      </w:r>
      <w:proofErr w:type="spellStart"/>
      <w:r>
        <w:rPr>
          <w:rFonts w:ascii="Arial" w:hAnsi="Arial" w:cs="Arial"/>
          <w:sz w:val="20"/>
          <w:szCs w:val="20"/>
        </w:rPr>
        <w:t>nutrijenata</w:t>
      </w:r>
      <w:proofErr w:type="spellEnd"/>
      <w:r>
        <w:rPr>
          <w:rFonts w:ascii="Arial" w:hAnsi="Arial" w:cs="Arial"/>
          <w:sz w:val="20"/>
          <w:szCs w:val="20"/>
        </w:rPr>
        <w:t xml:space="preserve"> potrebnih za rast biljaka (dušik, fosfor, kalij).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sva tri tla zabilježili smo broj proljetnica na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Naše istraživanje se nastavlja tako što ćemo tlo na 2. lokalitetu gnojiti umjetnim gnojivom, u šumi će se dogoditi prirodni proces stvaranja humusa, a tlo na trećem lokalitetu neće biti tretirano. Analizu tla ponovit ćemo u studenom ove godine te u veljači 2018.g. U veljači ćemo ponovno izbrojati proljetnice na svim lokalitetima i donijeti zaključke o tome utječu li različite vrste gnojidbe na bujnost i povećanje broja jedinki na određenim staništima te razriješiti dvojbu naših majki je li bolje svake godine presađivati biljke u šumsku zemlju ili se bujnost i povećanje broja jedinki može povećati samo dodatkom umjetnog gnojiva. Isto tako, ovim projektom ćemo usporediti rast proljetnica u šumi i na travnjaku, usporediti rast na netretiranom i gnojem tretiranom tlu te usporediti rast na šumskom i gnojem tretiranom tlu.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</w:p>
    <w:p w:rsidR="008E3670" w:rsidRDefault="00AE32C6" w:rsidP="008E36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E3670" w:rsidRPr="00F32F59">
        <w:rPr>
          <w:rFonts w:ascii="Arial" w:hAnsi="Arial" w:cs="Arial"/>
          <w:b/>
          <w:sz w:val="20"/>
          <w:szCs w:val="20"/>
        </w:rPr>
        <w:t>. Literatura</w:t>
      </w:r>
    </w:p>
    <w:p w:rsidR="00810918" w:rsidRDefault="00810918" w:rsidP="008E367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Skupina autora, 2015: Zaštita okoliša i održivi razvoj, Gimnazija, Požega</w:t>
      </w:r>
    </w:p>
    <w:p w:rsidR="008E3670" w:rsidRDefault="008E3670" w:rsidP="008E3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Domac</w:t>
      </w:r>
      <w:proofErr w:type="spellEnd"/>
      <w:r>
        <w:rPr>
          <w:rFonts w:ascii="Arial" w:hAnsi="Arial" w:cs="Arial"/>
          <w:sz w:val="20"/>
          <w:szCs w:val="20"/>
        </w:rPr>
        <w:t xml:space="preserve">,R.,1967:Ekskurzijska flora Hrvatske i susjednih područja,Institut za botaniku </w:t>
      </w:r>
    </w:p>
    <w:p w:rsidR="008E3670" w:rsidRDefault="008E3670" w:rsidP="008E36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sveučilišta u Zagrebu</w:t>
      </w:r>
    </w:p>
    <w:p w:rsidR="008E3670" w:rsidRDefault="008E3670" w:rsidP="008E36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Šilić</w:t>
      </w:r>
      <w:proofErr w:type="spellEnd"/>
      <w:r>
        <w:rPr>
          <w:rFonts w:ascii="Arial" w:hAnsi="Arial" w:cs="Arial"/>
          <w:sz w:val="20"/>
          <w:szCs w:val="20"/>
        </w:rPr>
        <w:t>,Č.1990:Atlas drveća i grmlja, Zavod za udžbenike i nastavna sredstva, Sarajevo</w:t>
      </w:r>
    </w:p>
    <w:p w:rsidR="008E3670" w:rsidRDefault="008E3670" w:rsidP="008E36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Springer</w:t>
      </w:r>
      <w:proofErr w:type="spellEnd"/>
      <w:r>
        <w:rPr>
          <w:rFonts w:ascii="Arial" w:hAnsi="Arial" w:cs="Arial"/>
          <w:sz w:val="20"/>
          <w:szCs w:val="20"/>
        </w:rPr>
        <w:t>;O:-</w:t>
      </w:r>
      <w:proofErr w:type="spellStart"/>
      <w:r>
        <w:rPr>
          <w:rFonts w:ascii="Arial" w:hAnsi="Arial" w:cs="Arial"/>
          <w:sz w:val="20"/>
          <w:szCs w:val="20"/>
        </w:rPr>
        <w:t>Vrtar</w:t>
      </w:r>
      <w:proofErr w:type="spellEnd"/>
      <w:r>
        <w:rPr>
          <w:rFonts w:ascii="Arial" w:hAnsi="Arial" w:cs="Arial"/>
          <w:sz w:val="20"/>
          <w:szCs w:val="20"/>
        </w:rPr>
        <w:t xml:space="preserve">,B.-Meštrov,M.,1987.:Biologija 2, udžbenik za 2. razred, Školska knjiga, </w:t>
      </w:r>
    </w:p>
    <w:p w:rsidR="008E3670" w:rsidRDefault="008E3670" w:rsidP="008E36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Zagreb  </w:t>
      </w:r>
    </w:p>
    <w:p w:rsidR="008E3670" w:rsidRDefault="008E3670" w:rsidP="008E36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Cindrić,M.1974:Biljni pokrov područja </w:t>
      </w:r>
      <w:proofErr w:type="spellStart"/>
      <w:r>
        <w:rPr>
          <w:rFonts w:ascii="Arial" w:hAnsi="Arial" w:cs="Arial"/>
          <w:sz w:val="20"/>
          <w:szCs w:val="20"/>
        </w:rPr>
        <w:t>Dilj</w:t>
      </w:r>
      <w:proofErr w:type="spellEnd"/>
      <w:r>
        <w:rPr>
          <w:rFonts w:ascii="Arial" w:hAnsi="Arial" w:cs="Arial"/>
          <w:sz w:val="20"/>
          <w:szCs w:val="20"/>
        </w:rPr>
        <w:t xml:space="preserve"> gore sjeveroistočno od Slavonskog Broda, </w:t>
      </w:r>
    </w:p>
    <w:p w:rsidR="008E3670" w:rsidRDefault="008E3670" w:rsidP="000111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magistarski rad</w:t>
      </w:r>
    </w:p>
    <w:p w:rsidR="008E3670" w:rsidRPr="00627629" w:rsidRDefault="008E3670" w:rsidP="008E3670">
      <w:pPr>
        <w:rPr>
          <w:rFonts w:ascii="Arial" w:hAnsi="Arial" w:cs="Arial"/>
          <w:sz w:val="20"/>
          <w:szCs w:val="20"/>
        </w:rPr>
      </w:pPr>
    </w:p>
    <w:p w:rsidR="008E3670" w:rsidRDefault="008E3670" w:rsidP="008E36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KONTAKT:</w:t>
      </w:r>
    </w:p>
    <w:p w:rsidR="008E3670" w:rsidRDefault="008E3670" w:rsidP="008E36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Mirta Malčić</w:t>
      </w:r>
    </w:p>
    <w:p w:rsidR="008E3670" w:rsidRDefault="008E3670" w:rsidP="008E367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>: mirta.malcic@gmail.com</w:t>
      </w:r>
    </w:p>
    <w:p w:rsidR="008E3670" w:rsidRDefault="008E3670" w:rsidP="008E3670"/>
    <w:p w:rsidR="008E3670" w:rsidRDefault="008E3670" w:rsidP="008E3670"/>
    <w:p w:rsidR="00075921" w:rsidRDefault="00075921"/>
    <w:sectPr w:rsidR="00075921" w:rsidSect="0041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3670"/>
    <w:rsid w:val="00011170"/>
    <w:rsid w:val="00075921"/>
    <w:rsid w:val="004168D0"/>
    <w:rsid w:val="00810918"/>
    <w:rsid w:val="008E3670"/>
    <w:rsid w:val="00AA6495"/>
    <w:rsid w:val="00AB6784"/>
    <w:rsid w:val="00AE32C6"/>
    <w:rsid w:val="00BB24D3"/>
    <w:rsid w:val="00D521FB"/>
    <w:rsid w:val="00E9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8E36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semiHidden/>
    <w:unhideWhenUsed/>
    <w:qFormat/>
    <w:rsid w:val="008E36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6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6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temperatura zraka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1. lokalitet</c:v>
                </c:pt>
                <c:pt idx="1">
                  <c:v>2. lokalitet</c:v>
                </c:pt>
                <c:pt idx="2">
                  <c:v>3. lokalitet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temperatura tla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1. lokalitet</c:v>
                </c:pt>
                <c:pt idx="1">
                  <c:v>2. lokalitet</c:v>
                </c:pt>
                <c:pt idx="2">
                  <c:v>3. lokalitet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75298688"/>
        <c:axId val="75300224"/>
      </c:barChart>
      <c:catAx>
        <c:axId val="75298688"/>
        <c:scaling>
          <c:orientation val="minMax"/>
        </c:scaling>
        <c:axPos val="b"/>
        <c:majorTickMark val="none"/>
        <c:tickLblPos val="nextTo"/>
        <c:crossAx val="75300224"/>
        <c:crosses val="autoZero"/>
        <c:auto val="1"/>
        <c:lblAlgn val="ctr"/>
        <c:lblOffset val="100"/>
      </c:catAx>
      <c:valAx>
        <c:axId val="75300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 b="0">
                    <a:latin typeface="Arial" panose="020B0604020202020204" pitchFamily="34" charset="0"/>
                    <a:cs typeface="Arial" panose="020B0604020202020204" pitchFamily="34" charset="0"/>
                  </a:rPr>
                  <a:t>temperatura/°C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52986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pH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List1!$A$2:$A$4</c:f>
              <c:strCache>
                <c:ptCount val="3"/>
                <c:pt idx="0">
                  <c:v>1. lokalitet</c:v>
                </c:pt>
                <c:pt idx="1">
                  <c:v>2. lokalitet</c:v>
                </c:pt>
                <c:pt idx="2">
                  <c:v>3. lokalitet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6.1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axId val="75366400"/>
        <c:axId val="75367936"/>
      </c:barChart>
      <c:catAx>
        <c:axId val="75366400"/>
        <c:scaling>
          <c:orientation val="minMax"/>
        </c:scaling>
        <c:axPos val="b"/>
        <c:tickLblPos val="nextTo"/>
        <c:crossAx val="75367936"/>
        <c:crosses val="autoZero"/>
        <c:auto val="1"/>
        <c:lblAlgn val="ctr"/>
        <c:lblOffset val="100"/>
      </c:catAx>
      <c:valAx>
        <c:axId val="75367936"/>
        <c:scaling>
          <c:orientation val="minMax"/>
        </c:scaling>
        <c:axPos val="l"/>
        <c:majorGridlines/>
        <c:numFmt formatCode="General" sourceLinked="1"/>
        <c:tickLblPos val="nextTo"/>
        <c:crossAx val="7536640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nitrati</a:t>
            </a:r>
            <a:r>
              <a:rPr lang="hr-HR"/>
              <a:t>(</a:t>
            </a:r>
            <a:r>
              <a:rPr lang="en-US"/>
              <a:t>mg/L</a:t>
            </a:r>
            <a:r>
              <a:rPr lang="hr-HR"/>
              <a:t>)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nitrati/mg/L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List1!$A$2:$A$4</c:f>
              <c:strCache>
                <c:ptCount val="3"/>
                <c:pt idx="0">
                  <c:v>1. lokalitet</c:v>
                </c:pt>
                <c:pt idx="1">
                  <c:v>2. lokalitet</c:v>
                </c:pt>
                <c:pt idx="2">
                  <c:v>3. lokalitet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50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</c:ser>
        <c:axId val="26449024"/>
        <c:axId val="26450560"/>
      </c:barChart>
      <c:catAx>
        <c:axId val="26449024"/>
        <c:scaling>
          <c:orientation val="minMax"/>
        </c:scaling>
        <c:axPos val="b"/>
        <c:tickLblPos val="nextTo"/>
        <c:crossAx val="26450560"/>
        <c:crosses val="autoZero"/>
        <c:auto val="1"/>
        <c:lblAlgn val="ctr"/>
        <c:lblOffset val="100"/>
      </c:catAx>
      <c:valAx>
        <c:axId val="26450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nitrati (mg/L)</a:t>
                </a:r>
              </a:p>
            </c:rich>
          </c:tx>
          <c:layout/>
        </c:title>
        <c:numFmt formatCode="General" sourceLinked="1"/>
        <c:tickLblPos val="nextTo"/>
        <c:crossAx val="2644902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fosfati</a:t>
            </a:r>
            <a:r>
              <a:rPr lang="hr-HR" baseline="0"/>
              <a:t> (mg/L)</a:t>
            </a:r>
            <a:endParaRPr lang="hr-H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pH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dPt>
            <c:idx val="0"/>
            <c:spPr>
              <a:solidFill>
                <a:srgbClr val="B218A7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c:spPr>
          </c:dPt>
          <c:dPt>
            <c:idx val="1"/>
            <c:spPr>
              <a:solidFill>
                <a:srgbClr val="B218A7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spPr>
              <a:solidFill>
                <a:srgbClr val="B218A7"/>
              </a:solidFill>
              <a:ln>
                <a:solidFill>
                  <a:schemeClr val="accent2">
                    <a:lumMod val="40000"/>
                    <a:lumOff val="60000"/>
                  </a:schemeClr>
                </a:solidFill>
              </a:ln>
            </c:spPr>
          </c:dPt>
          <c:cat>
            <c:strRef>
              <c:f>List1!$A$2:$A$4</c:f>
              <c:strCache>
                <c:ptCount val="3"/>
                <c:pt idx="0">
                  <c:v>1. lokalitet</c:v>
                </c:pt>
                <c:pt idx="1">
                  <c:v>2. lokalitet</c:v>
                </c:pt>
                <c:pt idx="2">
                  <c:v>3. lokalitet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0.70000000000000018</c:v>
                </c:pt>
                <c:pt idx="1">
                  <c:v>0.3000000000000001</c:v>
                </c:pt>
                <c:pt idx="2">
                  <c:v>0.3000000000000001</c:v>
                </c:pt>
              </c:numCache>
            </c:numRef>
          </c:val>
        </c:ser>
        <c:axId val="76242944"/>
        <c:axId val="76244480"/>
      </c:barChart>
      <c:catAx>
        <c:axId val="76242944"/>
        <c:scaling>
          <c:orientation val="minMax"/>
        </c:scaling>
        <c:axPos val="b"/>
        <c:tickLblPos val="nextTo"/>
        <c:crossAx val="76244480"/>
        <c:crosses val="autoZero"/>
        <c:auto val="1"/>
        <c:lblAlgn val="ctr"/>
        <c:lblOffset val="100"/>
      </c:catAx>
      <c:valAx>
        <c:axId val="76244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fosfati (mg/L)</a:t>
                </a:r>
              </a:p>
            </c:rich>
          </c:tx>
          <c:layout/>
        </c:title>
        <c:numFmt formatCode="General" sourceLinked="1"/>
        <c:tickLblPos val="nextTo"/>
        <c:crossAx val="762429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2397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Malchich</dc:creator>
  <cp:lastModifiedBy>bsmojver</cp:lastModifiedBy>
  <cp:revision>3</cp:revision>
  <dcterms:created xsi:type="dcterms:W3CDTF">2017-05-09T11:10:00Z</dcterms:created>
  <dcterms:modified xsi:type="dcterms:W3CDTF">2017-05-09T11:52:00Z</dcterms:modified>
</cp:coreProperties>
</file>