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1" w:rsidRPr="00184225" w:rsidRDefault="00777AF1" w:rsidP="00777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4225">
        <w:rPr>
          <w:rFonts w:ascii="Arial" w:hAnsi="Arial" w:cs="Arial"/>
          <w:b/>
          <w:sz w:val="20"/>
          <w:szCs w:val="20"/>
        </w:rPr>
        <w:t>NAŠIN DESET LJETA</w:t>
      </w:r>
    </w:p>
    <w:p w:rsidR="00777AF1" w:rsidRPr="00184225" w:rsidRDefault="00777AF1" w:rsidP="00777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7AF1" w:rsidRPr="00184225" w:rsidRDefault="00777AF1" w:rsidP="00777A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UČENICE: Magdalena Lucin, Laura Lončar,Nina Kereš</w:t>
      </w:r>
    </w:p>
    <w:p w:rsidR="00777AF1" w:rsidRPr="00184225" w:rsidRDefault="00777AF1" w:rsidP="00777A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ŠKOLA: OŠ „ Valentin Klarin „ Preko</w:t>
      </w:r>
    </w:p>
    <w:p w:rsidR="00777AF1" w:rsidRPr="00184225" w:rsidRDefault="00777AF1" w:rsidP="00777A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MENTOR: Jasminka Dubravica,prof.</w:t>
      </w:r>
    </w:p>
    <w:p w:rsidR="00777AF1" w:rsidRPr="00184225" w:rsidRDefault="00777AF1" w:rsidP="00777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7AF1" w:rsidRPr="00184225" w:rsidRDefault="00777AF1" w:rsidP="00777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7AF1" w:rsidRDefault="00935C60" w:rsidP="00777AF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Istraživačko pitanje/hipoteza:</w:t>
      </w:r>
    </w:p>
    <w:p w:rsidR="00935C60" w:rsidRPr="00184225" w:rsidRDefault="00935C60" w:rsidP="00777AF1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Usporedili smo ljeta kr</w:t>
      </w:r>
      <w:r w:rsidR="00935C60">
        <w:rPr>
          <w:rFonts w:ascii="Arial" w:hAnsi="Arial" w:cs="Arial"/>
          <w:sz w:val="20"/>
          <w:szCs w:val="20"/>
        </w:rPr>
        <w:t xml:space="preserve">oz deset godina od 2006. - 2015. </w:t>
      </w:r>
      <w:r w:rsidRPr="00184225">
        <w:rPr>
          <w:rFonts w:ascii="Arial" w:hAnsi="Arial" w:cs="Arial"/>
          <w:sz w:val="20"/>
          <w:szCs w:val="20"/>
        </w:rPr>
        <w:t>i pretpostavili da će se razlikovati te da će biti ljeta koja se ističu viskoim temperaturama ili oborinama.</w:t>
      </w:r>
      <w:r w:rsidR="00CD5506">
        <w:rPr>
          <w:rFonts w:ascii="Arial" w:hAnsi="Arial" w:cs="Arial"/>
          <w:sz w:val="20"/>
          <w:szCs w:val="20"/>
        </w:rPr>
        <w:t xml:space="preserve"> </w:t>
      </w:r>
      <w:r w:rsidR="00935C60">
        <w:rPr>
          <w:rFonts w:ascii="Arial" w:hAnsi="Arial" w:cs="Arial"/>
          <w:sz w:val="20"/>
          <w:szCs w:val="20"/>
        </w:rPr>
        <w:t>Također nas je zanimalo postaju li</w:t>
      </w:r>
      <w:r w:rsidRPr="00184225">
        <w:rPr>
          <w:rFonts w:ascii="Arial" w:hAnsi="Arial" w:cs="Arial"/>
          <w:sz w:val="20"/>
          <w:szCs w:val="20"/>
        </w:rPr>
        <w:t xml:space="preserve"> naša ljeta sušn</w:t>
      </w:r>
      <w:r w:rsidR="00935C60">
        <w:rPr>
          <w:rFonts w:ascii="Arial" w:hAnsi="Arial" w:cs="Arial"/>
          <w:sz w:val="20"/>
          <w:szCs w:val="20"/>
        </w:rPr>
        <w:t>ij</w:t>
      </w:r>
      <w:r w:rsidRPr="00184225">
        <w:rPr>
          <w:rFonts w:ascii="Arial" w:hAnsi="Arial" w:cs="Arial"/>
          <w:sz w:val="20"/>
          <w:szCs w:val="20"/>
        </w:rPr>
        <w:t>a i topl</w:t>
      </w:r>
      <w:r w:rsidR="00935C60">
        <w:rPr>
          <w:rFonts w:ascii="Arial" w:hAnsi="Arial" w:cs="Arial"/>
          <w:sz w:val="20"/>
          <w:szCs w:val="20"/>
        </w:rPr>
        <w:t>ij</w:t>
      </w:r>
      <w:r w:rsidRPr="00184225">
        <w:rPr>
          <w:rFonts w:ascii="Arial" w:hAnsi="Arial" w:cs="Arial"/>
          <w:sz w:val="20"/>
          <w:szCs w:val="20"/>
        </w:rPr>
        <w:t>a ili ne.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84225">
        <w:rPr>
          <w:rFonts w:ascii="Arial" w:hAnsi="Arial" w:cs="Arial"/>
          <w:b/>
          <w:bCs/>
          <w:sz w:val="20"/>
          <w:szCs w:val="20"/>
        </w:rPr>
        <w:t>Metode istraživanja:</w:t>
      </w:r>
    </w:p>
    <w:p w:rsidR="00935C60" w:rsidRPr="00184225" w:rsidRDefault="00935C60" w:rsidP="00777AF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Za naš pr</w:t>
      </w:r>
      <w:r w:rsidR="00935C60">
        <w:rPr>
          <w:rFonts w:ascii="Arial" w:hAnsi="Arial" w:cs="Arial"/>
          <w:sz w:val="20"/>
          <w:szCs w:val="20"/>
        </w:rPr>
        <w:t>ojekt odlučili smo istražiti prosječne mjesečne temperature zraka u ljetnim mjesecima</w:t>
      </w:r>
      <w:r w:rsidRPr="00184225">
        <w:rPr>
          <w:rFonts w:ascii="Arial" w:hAnsi="Arial" w:cs="Arial"/>
          <w:sz w:val="20"/>
          <w:szCs w:val="20"/>
        </w:rPr>
        <w:t>, kao i ukupnu ljetnu količinu oborin</w:t>
      </w:r>
      <w:r w:rsidR="00935C60">
        <w:rPr>
          <w:rFonts w:ascii="Arial" w:hAnsi="Arial" w:cs="Arial"/>
          <w:sz w:val="20"/>
          <w:szCs w:val="20"/>
        </w:rPr>
        <w:t>e u proteklih 10 godina u Preku</w:t>
      </w:r>
      <w:r w:rsidRPr="00184225">
        <w:rPr>
          <w:rFonts w:ascii="Arial" w:hAnsi="Arial" w:cs="Arial"/>
          <w:sz w:val="20"/>
          <w:szCs w:val="20"/>
        </w:rPr>
        <w:t xml:space="preserve"> i te vrijednos</w:t>
      </w:r>
      <w:r w:rsidR="00184225" w:rsidRPr="00184225">
        <w:rPr>
          <w:rFonts w:ascii="Arial" w:hAnsi="Arial" w:cs="Arial"/>
          <w:sz w:val="20"/>
          <w:szCs w:val="20"/>
        </w:rPr>
        <w:t>t</w:t>
      </w:r>
      <w:r w:rsidRPr="00184225">
        <w:rPr>
          <w:rFonts w:ascii="Arial" w:hAnsi="Arial" w:cs="Arial"/>
          <w:sz w:val="20"/>
          <w:szCs w:val="20"/>
        </w:rPr>
        <w:t xml:space="preserve">i usporediti s podatcima </w:t>
      </w:r>
      <w:r w:rsidR="00935C60">
        <w:rPr>
          <w:rFonts w:ascii="Arial" w:hAnsi="Arial" w:cs="Arial"/>
          <w:sz w:val="20"/>
          <w:szCs w:val="20"/>
        </w:rPr>
        <w:t xml:space="preserve">iz </w:t>
      </w:r>
      <w:r w:rsidRPr="00184225">
        <w:rPr>
          <w:rFonts w:ascii="Arial" w:hAnsi="Arial" w:cs="Arial"/>
          <w:sz w:val="20"/>
          <w:szCs w:val="20"/>
        </w:rPr>
        <w:t>Zadra.</w:t>
      </w:r>
      <w:r w:rsidR="00CD5506">
        <w:rPr>
          <w:rFonts w:ascii="Arial" w:hAnsi="Arial" w:cs="Arial"/>
          <w:sz w:val="20"/>
          <w:szCs w:val="20"/>
        </w:rPr>
        <w:t xml:space="preserve"> </w:t>
      </w:r>
      <w:r w:rsidRPr="00184225">
        <w:rPr>
          <w:rFonts w:ascii="Arial" w:hAnsi="Arial" w:cs="Arial"/>
          <w:sz w:val="20"/>
          <w:szCs w:val="20"/>
        </w:rPr>
        <w:t>Zbog velike količine podataka, odlučili smo usporediti samo meteorološka ljeta.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Meteorološko ljeto traje od 1.06</w:t>
      </w:r>
      <w:r w:rsidR="00935C60">
        <w:rPr>
          <w:rFonts w:ascii="Arial" w:hAnsi="Arial" w:cs="Arial"/>
          <w:sz w:val="20"/>
          <w:szCs w:val="20"/>
        </w:rPr>
        <w:t xml:space="preserve">. </w:t>
      </w:r>
      <w:r w:rsidRPr="00184225">
        <w:rPr>
          <w:rFonts w:ascii="Arial" w:hAnsi="Arial" w:cs="Arial"/>
          <w:sz w:val="20"/>
          <w:szCs w:val="20"/>
        </w:rPr>
        <w:t>-</w:t>
      </w:r>
      <w:r w:rsidR="00935C60">
        <w:rPr>
          <w:rFonts w:ascii="Arial" w:hAnsi="Arial" w:cs="Arial"/>
          <w:sz w:val="20"/>
          <w:szCs w:val="20"/>
        </w:rPr>
        <w:t xml:space="preserve"> </w:t>
      </w:r>
      <w:r w:rsidRPr="00184225">
        <w:rPr>
          <w:rFonts w:ascii="Arial" w:hAnsi="Arial" w:cs="Arial"/>
          <w:sz w:val="20"/>
          <w:szCs w:val="20"/>
        </w:rPr>
        <w:t>31.08.</w:t>
      </w:r>
    </w:p>
    <w:p w:rsidR="00777AF1" w:rsidRPr="00184225" w:rsidRDefault="00935C60" w:rsidP="00777A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Koristili smo naše podatke</w:t>
      </w:r>
      <w:r w:rsidR="00777AF1" w:rsidRPr="00184225">
        <w:rPr>
          <w:rFonts w:ascii="Arial" w:hAnsi="Arial" w:cs="Arial"/>
          <w:sz w:val="20"/>
          <w:szCs w:val="20"/>
        </w:rPr>
        <w:t xml:space="preserve"> i podatke o višegodiš</w:t>
      </w:r>
      <w:r>
        <w:rPr>
          <w:rFonts w:ascii="Arial" w:hAnsi="Arial" w:cs="Arial"/>
          <w:sz w:val="20"/>
          <w:szCs w:val="20"/>
        </w:rPr>
        <w:t>njem projseku (1961. – 1990.) s</w:t>
      </w:r>
      <w:r w:rsidR="00777AF1" w:rsidRPr="00184225">
        <w:rPr>
          <w:rFonts w:ascii="Arial" w:hAnsi="Arial" w:cs="Arial"/>
          <w:sz w:val="20"/>
          <w:szCs w:val="20"/>
        </w:rPr>
        <w:t xml:space="preserve"> nama najbl</w:t>
      </w:r>
      <w:r>
        <w:rPr>
          <w:rFonts w:ascii="Arial" w:hAnsi="Arial" w:cs="Arial"/>
          <w:sz w:val="20"/>
          <w:szCs w:val="20"/>
        </w:rPr>
        <w:t xml:space="preserve">iže profesionalne meteorološke </w:t>
      </w:r>
      <w:r w:rsidR="00777AF1" w:rsidRPr="00184225">
        <w:rPr>
          <w:rFonts w:ascii="Arial" w:hAnsi="Arial" w:cs="Arial"/>
          <w:sz w:val="20"/>
          <w:szCs w:val="20"/>
        </w:rPr>
        <w:t>postaje u Zadru,  Državn</w:t>
      </w:r>
      <w:r>
        <w:rPr>
          <w:rFonts w:ascii="Arial" w:hAnsi="Arial" w:cs="Arial"/>
          <w:sz w:val="20"/>
          <w:szCs w:val="20"/>
        </w:rPr>
        <w:t>og hidrometeorološkog zavoda (</w:t>
      </w:r>
      <w:r w:rsidR="00777AF1" w:rsidRPr="00184225">
        <w:rPr>
          <w:rFonts w:ascii="Arial" w:hAnsi="Arial" w:cs="Arial"/>
          <w:sz w:val="20"/>
          <w:szCs w:val="20"/>
        </w:rPr>
        <w:t xml:space="preserve">DHMZ-a). 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Internet smo koristili da doznamo više o klimatskim zbivanjima u Hrvatskoj. Također su nam puno pomogle službene internetske stranice DHMZ-a.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pStyle w:val="NoSpacing"/>
        <w:rPr>
          <w:rFonts w:ascii="Arial" w:hAnsi="Arial" w:cs="Arial"/>
          <w:b/>
          <w:sz w:val="20"/>
          <w:szCs w:val="20"/>
        </w:rPr>
      </w:pPr>
      <w:r w:rsidRPr="00184225">
        <w:rPr>
          <w:rFonts w:ascii="Arial" w:hAnsi="Arial" w:cs="Arial"/>
          <w:b/>
          <w:sz w:val="20"/>
          <w:szCs w:val="20"/>
        </w:rPr>
        <w:t>Prikaz i analiza podataka:</w:t>
      </w:r>
    </w:p>
    <w:p w:rsidR="00935C60" w:rsidRPr="00184225" w:rsidRDefault="00935C60" w:rsidP="00777AF1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Ovo istraživanje nas je podsjetilo da smo već istraživali klimatske prilike</w:t>
      </w:r>
      <w:r w:rsidR="00184225" w:rsidRPr="00184225">
        <w:rPr>
          <w:rFonts w:ascii="Arial" w:hAnsi="Arial" w:cs="Arial"/>
          <w:sz w:val="20"/>
          <w:szCs w:val="20"/>
        </w:rPr>
        <w:t xml:space="preserve"> </w:t>
      </w:r>
      <w:r w:rsidR="00935C60">
        <w:rPr>
          <w:rFonts w:ascii="Arial" w:hAnsi="Arial" w:cs="Arial"/>
          <w:sz w:val="20"/>
          <w:szCs w:val="20"/>
        </w:rPr>
        <w:t>u 2011. godini</w:t>
      </w:r>
      <w:r w:rsidRPr="00184225">
        <w:rPr>
          <w:rFonts w:ascii="Arial" w:hAnsi="Arial" w:cs="Arial"/>
          <w:sz w:val="20"/>
          <w:szCs w:val="20"/>
        </w:rPr>
        <w:t xml:space="preserve"> koja je </w:t>
      </w:r>
      <w:r w:rsidR="00935C60">
        <w:rPr>
          <w:rFonts w:ascii="Arial" w:hAnsi="Arial" w:cs="Arial"/>
          <w:sz w:val="20"/>
          <w:szCs w:val="20"/>
        </w:rPr>
        <w:t>bila izrazito sušna</w:t>
      </w:r>
      <w:r w:rsidRPr="00184225">
        <w:rPr>
          <w:rFonts w:ascii="Arial" w:hAnsi="Arial" w:cs="Arial"/>
          <w:sz w:val="20"/>
          <w:szCs w:val="20"/>
        </w:rPr>
        <w:t xml:space="preserve"> te u 2014.</w:t>
      </w:r>
      <w:r w:rsidR="00935C60">
        <w:rPr>
          <w:rFonts w:ascii="Arial" w:hAnsi="Arial" w:cs="Arial"/>
          <w:sz w:val="20"/>
          <w:szCs w:val="20"/>
        </w:rPr>
        <w:t xml:space="preserve"> godini</w:t>
      </w:r>
      <w:r w:rsidRPr="00184225">
        <w:rPr>
          <w:rFonts w:ascii="Arial" w:hAnsi="Arial" w:cs="Arial"/>
          <w:sz w:val="20"/>
          <w:szCs w:val="20"/>
        </w:rPr>
        <w:t xml:space="preserve"> koja je bila izrazito kišna.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Već 10 godina GLOBE program postoji u našoj školi i redovito mjerimo trenutnu, minimalnu i maksimalnu temperaturu zraka i količinu oborine. Većinom nismo imali ni jedan dan prekida u mjerenju, osim u 2006.g. jer smo mjerenja temperature zraka započeli tek u 9. mjesecu. Stoga smo za naš projekt koristili naše podatke o temperaturi i oborini, a za 2006. smo zatražili podatke od nama najbliže meteorološke postaje u Zadru.</w:t>
      </w: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Najprije smo izračunali srednje dnevne te srednje mjesečne temperature zraka (na našoj GLOBE postaji u Preku) :</w:t>
      </w:r>
    </w:p>
    <w:p w:rsidR="00777AF1" w:rsidRDefault="00777AF1" w:rsidP="00777AF1">
      <w:pPr>
        <w:pStyle w:val="NoSpacing"/>
        <w:rPr>
          <w:rFonts w:ascii="Arial" w:hAnsi="Arial" w:cs="Arial"/>
          <w:sz w:val="20"/>
          <w:szCs w:val="20"/>
          <w:lang w:eastAsia="hr-HR"/>
        </w:rPr>
      </w:pPr>
      <w:r w:rsidRPr="00184225">
        <w:rPr>
          <w:rFonts w:ascii="Arial" w:hAnsi="Arial" w:cs="Arial"/>
          <w:sz w:val="20"/>
          <w:szCs w:val="20"/>
          <w:lang w:eastAsia="hr-HR"/>
        </w:rPr>
        <w:t>Srednje dnevne temperature izračunali smo prema formuli:</w:t>
      </w:r>
    </w:p>
    <w:p w:rsidR="00184225" w:rsidRPr="00184225" w:rsidRDefault="00184225" w:rsidP="00777AF1">
      <w:pPr>
        <w:pStyle w:val="NoSpacing"/>
        <w:rPr>
          <w:rFonts w:ascii="Arial" w:hAnsi="Arial" w:cs="Arial"/>
          <w:sz w:val="20"/>
          <w:szCs w:val="20"/>
          <w:lang w:eastAsia="hr-HR"/>
        </w:rPr>
      </w:pPr>
    </w:p>
    <w:p w:rsidR="00777AF1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 xml:space="preserve"> (T</w:t>
      </w:r>
      <w:r w:rsidRPr="00184225">
        <w:rPr>
          <w:rFonts w:ascii="Arial" w:hAnsi="Arial" w:cs="Arial"/>
          <w:position w:val="-6"/>
          <w:sz w:val="20"/>
          <w:szCs w:val="20"/>
        </w:rPr>
        <w:t>sredD</w:t>
      </w:r>
      <w:r w:rsidRPr="00184225">
        <w:rPr>
          <w:rFonts w:ascii="Arial" w:hAnsi="Arial" w:cs="Arial"/>
          <w:sz w:val="20"/>
          <w:szCs w:val="20"/>
        </w:rPr>
        <w:t>) =  (T</w:t>
      </w:r>
      <w:r w:rsidRPr="00184225">
        <w:rPr>
          <w:rFonts w:ascii="Arial" w:hAnsi="Arial" w:cs="Arial"/>
          <w:position w:val="-6"/>
          <w:sz w:val="20"/>
          <w:szCs w:val="20"/>
        </w:rPr>
        <w:t>max</w:t>
      </w:r>
      <w:r w:rsidRPr="00184225">
        <w:rPr>
          <w:rFonts w:ascii="Arial" w:hAnsi="Arial" w:cs="Arial"/>
          <w:sz w:val="20"/>
          <w:szCs w:val="20"/>
        </w:rPr>
        <w:t xml:space="preserve"> + T</w:t>
      </w:r>
      <w:r w:rsidRPr="00184225">
        <w:rPr>
          <w:rFonts w:ascii="Arial" w:hAnsi="Arial" w:cs="Arial"/>
          <w:position w:val="-6"/>
          <w:sz w:val="20"/>
          <w:szCs w:val="20"/>
        </w:rPr>
        <w:t>min</w:t>
      </w:r>
      <w:r w:rsidRPr="00184225">
        <w:rPr>
          <w:rFonts w:ascii="Arial" w:hAnsi="Arial" w:cs="Arial"/>
          <w:sz w:val="20"/>
          <w:szCs w:val="20"/>
        </w:rPr>
        <w:t>) / 2</w:t>
      </w:r>
    </w:p>
    <w:p w:rsidR="00184225" w:rsidRPr="00184225" w:rsidRDefault="00184225" w:rsidP="00777AF1">
      <w:pPr>
        <w:pStyle w:val="NoSpacing"/>
        <w:rPr>
          <w:rFonts w:ascii="Arial" w:hAnsi="Arial" w:cs="Arial"/>
          <w:sz w:val="20"/>
          <w:szCs w:val="20"/>
        </w:rPr>
      </w:pPr>
    </w:p>
    <w:p w:rsidR="00777AF1" w:rsidRDefault="00935C60" w:rsidP="00777A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77AF1" w:rsidRPr="00184225">
        <w:rPr>
          <w:rFonts w:ascii="Arial" w:hAnsi="Arial" w:cs="Arial"/>
          <w:sz w:val="20"/>
          <w:szCs w:val="20"/>
        </w:rPr>
        <w:t xml:space="preserve"> srednje mjesečne:</w:t>
      </w:r>
    </w:p>
    <w:p w:rsidR="00184225" w:rsidRPr="00184225" w:rsidRDefault="00184225" w:rsidP="00777AF1">
      <w:pPr>
        <w:pStyle w:val="NoSpacing"/>
        <w:rPr>
          <w:rFonts w:ascii="Arial" w:hAnsi="Arial" w:cs="Arial"/>
          <w:sz w:val="20"/>
          <w:szCs w:val="20"/>
        </w:rPr>
      </w:pPr>
    </w:p>
    <w:p w:rsidR="00777AF1" w:rsidRPr="00184225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184225">
        <w:rPr>
          <w:rFonts w:ascii="Arial" w:hAnsi="Arial" w:cs="Arial"/>
          <w:sz w:val="20"/>
          <w:szCs w:val="20"/>
        </w:rPr>
        <w:t>T</w:t>
      </w:r>
      <w:r w:rsidRPr="00184225">
        <w:rPr>
          <w:rFonts w:ascii="Arial" w:hAnsi="Arial" w:cs="Arial"/>
          <w:position w:val="-6"/>
          <w:sz w:val="20"/>
          <w:szCs w:val="20"/>
        </w:rPr>
        <w:t>sredM</w:t>
      </w:r>
      <w:r w:rsidRPr="00184225">
        <w:rPr>
          <w:rFonts w:ascii="Arial" w:hAnsi="Arial" w:cs="Arial"/>
          <w:sz w:val="20"/>
          <w:szCs w:val="20"/>
        </w:rPr>
        <w:t xml:space="preserve"> = (T</w:t>
      </w:r>
      <w:r w:rsidRPr="00184225">
        <w:rPr>
          <w:rFonts w:ascii="Arial" w:hAnsi="Arial" w:cs="Arial"/>
          <w:position w:val="-6"/>
          <w:sz w:val="20"/>
          <w:szCs w:val="20"/>
        </w:rPr>
        <w:t>sredD1</w:t>
      </w:r>
      <w:r w:rsidRPr="00184225">
        <w:rPr>
          <w:rFonts w:ascii="Arial" w:hAnsi="Arial" w:cs="Arial"/>
          <w:sz w:val="20"/>
          <w:szCs w:val="20"/>
        </w:rPr>
        <w:t xml:space="preserve"> + T</w:t>
      </w:r>
      <w:r w:rsidRPr="00184225">
        <w:rPr>
          <w:rFonts w:ascii="Arial" w:hAnsi="Arial" w:cs="Arial"/>
          <w:position w:val="-6"/>
          <w:sz w:val="20"/>
          <w:szCs w:val="20"/>
        </w:rPr>
        <w:t>sredD2</w:t>
      </w:r>
      <w:r w:rsidRPr="00184225">
        <w:rPr>
          <w:rFonts w:ascii="Arial" w:hAnsi="Arial" w:cs="Arial"/>
          <w:sz w:val="20"/>
          <w:szCs w:val="20"/>
        </w:rPr>
        <w:t xml:space="preserve"> + … + T</w:t>
      </w:r>
      <w:r w:rsidRPr="00184225">
        <w:rPr>
          <w:rFonts w:ascii="Arial" w:hAnsi="Arial" w:cs="Arial"/>
          <w:position w:val="-6"/>
          <w:sz w:val="20"/>
          <w:szCs w:val="20"/>
        </w:rPr>
        <w:t>sredDn</w:t>
      </w:r>
      <w:r w:rsidRPr="00184225">
        <w:rPr>
          <w:rFonts w:ascii="Arial" w:hAnsi="Arial" w:cs="Arial"/>
          <w:sz w:val="20"/>
          <w:szCs w:val="20"/>
        </w:rPr>
        <w:t>) / n; gdje je n broj dana u pojedinom mjesecu</w:t>
      </w:r>
    </w:p>
    <w:p w:rsidR="00777AF1" w:rsidRDefault="00777AF1" w:rsidP="00777AF1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77AF1" w:rsidRPr="009010BD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noProof/>
          <w:sz w:val="20"/>
          <w:szCs w:val="20"/>
        </w:rPr>
        <w:t xml:space="preserve">Zatim </w:t>
      </w:r>
      <w:r>
        <w:rPr>
          <w:rFonts w:ascii="Arial" w:hAnsi="Arial" w:cs="Arial"/>
          <w:noProof/>
          <w:sz w:val="20"/>
          <w:szCs w:val="20"/>
        </w:rPr>
        <w:t>smo izračunali ukupnu ljetnu količinu oborine.</w:t>
      </w:r>
      <w:r w:rsidR="00CD5506">
        <w:rPr>
          <w:rFonts w:ascii="Arial" w:hAnsi="Arial" w:cs="Arial"/>
          <w:noProof/>
          <w:sz w:val="20"/>
          <w:szCs w:val="20"/>
        </w:rPr>
        <w:t xml:space="preserve"> </w:t>
      </w:r>
      <w:r w:rsidRPr="009010BD">
        <w:rPr>
          <w:rFonts w:ascii="Arial" w:hAnsi="Arial" w:cs="Arial"/>
          <w:sz w:val="20"/>
          <w:szCs w:val="20"/>
        </w:rPr>
        <w:t xml:space="preserve">Mjesečna </w:t>
      </w:r>
      <w:r>
        <w:rPr>
          <w:rFonts w:ascii="Arial" w:hAnsi="Arial" w:cs="Arial"/>
          <w:sz w:val="20"/>
          <w:szCs w:val="20"/>
        </w:rPr>
        <w:t>količina oborine dobije se tako</w:t>
      </w:r>
      <w:r w:rsidR="00935C60">
        <w:rPr>
          <w:rFonts w:ascii="Arial" w:hAnsi="Arial" w:cs="Arial"/>
          <w:sz w:val="20"/>
          <w:szCs w:val="20"/>
        </w:rPr>
        <w:t xml:space="preserve"> da se </w:t>
      </w:r>
      <w:r>
        <w:rPr>
          <w:rFonts w:ascii="Arial" w:hAnsi="Arial" w:cs="Arial"/>
          <w:sz w:val="20"/>
          <w:szCs w:val="20"/>
        </w:rPr>
        <w:t xml:space="preserve">zbroje sve dnevne količine oborine </w:t>
      </w:r>
      <w:r w:rsidR="00935C60">
        <w:rPr>
          <w:rFonts w:ascii="Arial" w:hAnsi="Arial" w:cs="Arial"/>
          <w:sz w:val="20"/>
          <w:szCs w:val="20"/>
        </w:rPr>
        <w:t>u nekom</w:t>
      </w:r>
      <w:r w:rsidRPr="009010BD">
        <w:rPr>
          <w:rFonts w:ascii="Arial" w:hAnsi="Arial" w:cs="Arial"/>
          <w:sz w:val="20"/>
          <w:szCs w:val="20"/>
        </w:rPr>
        <w:t xml:space="preserve"> mjesecu. Taj zbroj je mjesečn</w:t>
      </w:r>
      <w:r w:rsidR="00935C60">
        <w:rPr>
          <w:rFonts w:ascii="Arial" w:hAnsi="Arial" w:cs="Arial"/>
          <w:sz w:val="20"/>
          <w:szCs w:val="20"/>
        </w:rPr>
        <w:t>a količina oborine za taj</w:t>
      </w:r>
      <w:r w:rsidRPr="009010BD">
        <w:rPr>
          <w:rFonts w:ascii="Arial" w:hAnsi="Arial" w:cs="Arial"/>
          <w:sz w:val="20"/>
          <w:szCs w:val="20"/>
        </w:rPr>
        <w:t>.</w:t>
      </w:r>
      <w:r w:rsidR="00935C60">
        <w:rPr>
          <w:rFonts w:ascii="Arial" w:hAnsi="Arial" w:cs="Arial"/>
          <w:sz w:val="20"/>
          <w:szCs w:val="20"/>
        </w:rPr>
        <w:t>mjesec.</w:t>
      </w:r>
      <w:r w:rsidRPr="009010BD">
        <w:rPr>
          <w:rFonts w:ascii="Arial" w:hAnsi="Arial" w:cs="Arial"/>
          <w:sz w:val="20"/>
          <w:szCs w:val="20"/>
        </w:rPr>
        <w:t xml:space="preserve"> Isto se naprav</w:t>
      </w:r>
      <w:r>
        <w:rPr>
          <w:rFonts w:ascii="Arial" w:hAnsi="Arial" w:cs="Arial"/>
          <w:sz w:val="20"/>
          <w:szCs w:val="20"/>
        </w:rPr>
        <w:t>i za sve promatrane mjesece.</w:t>
      </w:r>
      <w:r w:rsidR="00CD55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Ukupnu ljetnu količinu oborine izračunali smo zbrajanjem mjesečnih količina oborine</w:t>
      </w:r>
      <w:r w:rsidR="00935C60">
        <w:rPr>
          <w:rFonts w:ascii="Arial" w:hAnsi="Arial" w:cs="Arial"/>
          <w:sz w:val="20"/>
          <w:szCs w:val="20"/>
        </w:rPr>
        <w:t xml:space="preserve"> u ljetnim mjesecima</w:t>
      </w:r>
      <w:r>
        <w:rPr>
          <w:rFonts w:ascii="Arial" w:hAnsi="Arial" w:cs="Arial"/>
          <w:sz w:val="20"/>
          <w:szCs w:val="20"/>
        </w:rPr>
        <w:t>.</w:t>
      </w:r>
    </w:p>
    <w:p w:rsidR="00777AF1" w:rsidRDefault="00777AF1" w:rsidP="00777AF1">
      <w:pPr>
        <w:pStyle w:val="NoSpacing"/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Podatke smo prikazali</w:t>
      </w:r>
      <w:r>
        <w:rPr>
          <w:rFonts w:ascii="Arial" w:hAnsi="Arial" w:cs="Arial"/>
          <w:sz w:val="20"/>
          <w:szCs w:val="20"/>
        </w:rPr>
        <w:t xml:space="preserve"> tablično:</w:t>
      </w:r>
    </w:p>
    <w:p w:rsidR="00777AF1" w:rsidRDefault="00777AF1" w:rsidP="00777AF1">
      <w:pPr>
        <w:pStyle w:val="NoSpacing"/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1.Srednje mjesečne temperature zraka u ljetu i ljetna količina oborine u Preku od 2006</w:t>
      </w:r>
      <w:r w:rsidR="00184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-2015.g. te višegodišnji prosjek postaje iz Zadra</w:t>
      </w:r>
      <w:r w:rsidR="00935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010BD">
        <w:rPr>
          <w:rFonts w:ascii="Arial" w:hAnsi="Arial" w:cs="Arial"/>
          <w:sz w:val="20"/>
          <w:szCs w:val="20"/>
        </w:rPr>
        <w:t>1961</w:t>
      </w:r>
      <w:r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-1990</w:t>
      </w:r>
      <w:r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581"/>
        <w:gridCol w:w="727"/>
        <w:gridCol w:w="581"/>
        <w:gridCol w:w="561"/>
        <w:gridCol w:w="744"/>
        <w:gridCol w:w="744"/>
        <w:gridCol w:w="744"/>
      </w:tblGrid>
      <w:tr w:rsidR="00777AF1" w:rsidRPr="008565FB" w:rsidTr="00935C60">
        <w:trPr>
          <w:trHeight w:val="278"/>
        </w:trPr>
        <w:tc>
          <w:tcPr>
            <w:tcW w:w="1242" w:type="dxa"/>
            <w:vMerge w:val="restart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8"/>
                <w:szCs w:val="18"/>
              </w:rPr>
            </w:pPr>
            <w:r w:rsidRPr="00E73032">
              <w:rPr>
                <w:b/>
                <w:sz w:val="18"/>
                <w:szCs w:val="18"/>
              </w:rPr>
              <w:t>GODINA</w:t>
            </w:r>
          </w:p>
        </w:tc>
        <w:tc>
          <w:tcPr>
            <w:tcW w:w="2450" w:type="dxa"/>
            <w:gridSpan w:val="4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KOLIČINA OBORINE( mm)</w:t>
            </w:r>
          </w:p>
        </w:tc>
        <w:tc>
          <w:tcPr>
            <w:tcW w:w="2232" w:type="dxa"/>
            <w:gridSpan w:val="3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SREDNJE MJESEČNE. TEMPERATURE (</w:t>
            </w:r>
            <w:r w:rsidR="00184225">
              <w:rPr>
                <w:rFonts w:ascii="Arial" w:hAnsi="Arial" w:cs="Arial"/>
                <w:sz w:val="20"/>
                <w:szCs w:val="20"/>
              </w:rPr>
              <w:t>°C</w:t>
            </w:r>
            <w:r w:rsidRPr="00E73032">
              <w:rPr>
                <w:b/>
                <w:sz w:val="16"/>
                <w:szCs w:val="16"/>
              </w:rPr>
              <w:t>)</w:t>
            </w:r>
          </w:p>
        </w:tc>
      </w:tr>
      <w:tr w:rsidR="00777AF1" w:rsidRPr="008565FB" w:rsidTr="00935C60">
        <w:trPr>
          <w:trHeight w:val="277"/>
        </w:trPr>
        <w:tc>
          <w:tcPr>
            <w:tcW w:w="1242" w:type="dxa"/>
            <w:vMerge/>
            <w:vAlign w:val="center"/>
          </w:tcPr>
          <w:p w:rsidR="00777AF1" w:rsidRPr="00E73032" w:rsidRDefault="00777AF1" w:rsidP="00935C60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center"/>
          </w:tcPr>
          <w:p w:rsidR="00777AF1" w:rsidRDefault="00777AF1" w:rsidP="00935C60">
            <w:pPr>
              <w:jc w:val="center"/>
            </w:pPr>
            <w:r>
              <w:t>VI</w:t>
            </w:r>
          </w:p>
        </w:tc>
        <w:tc>
          <w:tcPr>
            <w:tcW w:w="727" w:type="dxa"/>
            <w:vAlign w:val="center"/>
          </w:tcPr>
          <w:p w:rsidR="00777AF1" w:rsidRDefault="00777AF1" w:rsidP="00935C60">
            <w:pPr>
              <w:jc w:val="center"/>
            </w:pPr>
            <w:r>
              <w:t>VII</w:t>
            </w:r>
          </w:p>
        </w:tc>
        <w:tc>
          <w:tcPr>
            <w:tcW w:w="581" w:type="dxa"/>
            <w:vAlign w:val="center"/>
          </w:tcPr>
          <w:p w:rsidR="00777AF1" w:rsidRDefault="00777AF1" w:rsidP="00935C60">
            <w:pPr>
              <w:jc w:val="center"/>
            </w:pPr>
            <w:r>
              <w:t>VIII</w:t>
            </w:r>
          </w:p>
        </w:tc>
        <w:tc>
          <w:tcPr>
            <w:tcW w:w="561" w:type="dxa"/>
            <w:vAlign w:val="center"/>
          </w:tcPr>
          <w:p w:rsidR="00777AF1" w:rsidRDefault="00777AF1" w:rsidP="00935C60">
            <w:pPr>
              <w:jc w:val="center"/>
            </w:pPr>
          </w:p>
        </w:tc>
        <w:tc>
          <w:tcPr>
            <w:tcW w:w="744" w:type="dxa"/>
            <w:vAlign w:val="center"/>
          </w:tcPr>
          <w:p w:rsidR="00777AF1" w:rsidRPr="00F04DF1" w:rsidRDefault="00777AF1" w:rsidP="00935C60">
            <w:pPr>
              <w:jc w:val="center"/>
            </w:pPr>
            <w:r w:rsidRPr="00F04DF1">
              <w:t>VI</w:t>
            </w:r>
          </w:p>
        </w:tc>
        <w:tc>
          <w:tcPr>
            <w:tcW w:w="744" w:type="dxa"/>
            <w:vAlign w:val="center"/>
          </w:tcPr>
          <w:p w:rsidR="00777AF1" w:rsidRPr="00F04DF1" w:rsidRDefault="00777AF1" w:rsidP="00935C60">
            <w:pPr>
              <w:jc w:val="center"/>
            </w:pPr>
            <w:r w:rsidRPr="00F04DF1">
              <w:t>VII</w:t>
            </w:r>
          </w:p>
        </w:tc>
        <w:tc>
          <w:tcPr>
            <w:tcW w:w="744" w:type="dxa"/>
            <w:vAlign w:val="center"/>
          </w:tcPr>
          <w:p w:rsidR="00777AF1" w:rsidRPr="00F04DF1" w:rsidRDefault="00777AF1" w:rsidP="00935C60">
            <w:pPr>
              <w:jc w:val="center"/>
            </w:pPr>
            <w:r w:rsidRPr="00F04DF1">
              <w:t>VIII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2006</w:t>
            </w:r>
            <w:r w:rsidR="00935C60">
              <w:rPr>
                <w:b/>
                <w:sz w:val="16"/>
                <w:szCs w:val="16"/>
              </w:rPr>
              <w:t>.</w:t>
            </w:r>
          </w:p>
          <w:p w:rsidR="00935C60" w:rsidRPr="00E73032" w:rsidRDefault="00935C60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0</w:t>
            </w:r>
            <w:r w:rsidR="00935C60"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2007</w:t>
            </w:r>
            <w:r w:rsidR="00935C60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24,4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26,5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24,6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2008</w:t>
            </w:r>
            <w:r w:rsidR="00935C60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lastRenderedPageBreak/>
              <w:t>86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23,6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26,1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lastRenderedPageBreak/>
              <w:t>2009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118,5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11,8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2,2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21,6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25,5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26,4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2010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23,6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25,3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22,7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26,7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2011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0</w:t>
            </w:r>
            <w:r w:rsidR="00935C6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23,8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24,9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2012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13,5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10,5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0</w:t>
            </w:r>
            <w:r w:rsidR="00935C6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24,5</w:t>
            </w:r>
          </w:p>
        </w:tc>
        <w:tc>
          <w:tcPr>
            <w:tcW w:w="744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</w:rPr>
            </w:pPr>
            <w:r w:rsidRPr="00E73032">
              <w:rPr>
                <w:b/>
              </w:rPr>
              <w:t>27,8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2013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22,5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1,5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48,5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21,9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26,3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25,6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2014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67,6</w:t>
            </w:r>
          </w:p>
        </w:tc>
        <w:tc>
          <w:tcPr>
            <w:tcW w:w="727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</w:rPr>
            </w:pPr>
            <w:r w:rsidRPr="00E73032">
              <w:rPr>
                <w:b/>
              </w:rPr>
              <w:t>349</w:t>
            </w:r>
            <w:r>
              <w:rPr>
                <w:b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23,7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23,9</w:t>
            </w:r>
          </w:p>
        </w:tc>
      </w:tr>
      <w:tr w:rsidR="00777AF1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2015</w:t>
            </w:r>
            <w:r w:rsidR="003052D4">
              <w:rPr>
                <w:b/>
                <w:sz w:val="16"/>
                <w:szCs w:val="16"/>
              </w:rPr>
              <w:t>.</w:t>
            </w:r>
          </w:p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sz w:val="16"/>
                <w:szCs w:val="16"/>
              </w:rPr>
            </w:pPr>
            <w:r w:rsidRPr="00A34F04">
              <w:rPr>
                <w:sz w:val="16"/>
                <w:szCs w:val="16"/>
              </w:rPr>
              <w:t>23,1</w:t>
            </w:r>
          </w:p>
        </w:tc>
        <w:tc>
          <w:tcPr>
            <w:tcW w:w="744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</w:rPr>
            </w:pPr>
            <w:r w:rsidRPr="00E73032">
              <w:rPr>
                <w:b/>
              </w:rPr>
              <w:t>27,4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</w:t>
            </w:r>
          </w:p>
        </w:tc>
      </w:tr>
      <w:tr w:rsidR="00777AF1" w:rsidRPr="004C0C1A" w:rsidTr="00935C60">
        <w:tc>
          <w:tcPr>
            <w:tcW w:w="1242" w:type="dxa"/>
            <w:vAlign w:val="center"/>
          </w:tcPr>
          <w:p w:rsidR="00777AF1" w:rsidRPr="00E73032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E73032">
              <w:rPr>
                <w:b/>
                <w:sz w:val="16"/>
                <w:szCs w:val="16"/>
              </w:rPr>
              <w:t>VIŠEGODIŠNJI PROSJEK ZA ZADAR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54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27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8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1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21,3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23,9</w:t>
            </w:r>
          </w:p>
        </w:tc>
        <w:tc>
          <w:tcPr>
            <w:tcW w:w="744" w:type="dxa"/>
            <w:vAlign w:val="center"/>
          </w:tcPr>
          <w:p w:rsidR="00777AF1" w:rsidRPr="00A34F04" w:rsidRDefault="00777AF1" w:rsidP="00935C60">
            <w:pPr>
              <w:jc w:val="center"/>
              <w:rPr>
                <w:b/>
                <w:sz w:val="16"/>
                <w:szCs w:val="16"/>
              </w:rPr>
            </w:pPr>
            <w:r w:rsidRPr="00A34F04">
              <w:rPr>
                <w:b/>
                <w:sz w:val="16"/>
                <w:szCs w:val="16"/>
              </w:rPr>
              <w:t>23,7</w:t>
            </w:r>
          </w:p>
        </w:tc>
      </w:tr>
    </w:tbl>
    <w:p w:rsidR="00777AF1" w:rsidRDefault="00777AF1" w:rsidP="00777AF1">
      <w:pPr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Tablice 1 se vidi da s</w:t>
      </w:r>
      <w:r w:rsidR="003052D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srednje mjesečne temp</w:t>
      </w:r>
      <w:r w:rsidR="00184225">
        <w:rPr>
          <w:rFonts w:ascii="Arial" w:hAnsi="Arial" w:cs="Arial"/>
          <w:sz w:val="20"/>
          <w:szCs w:val="20"/>
        </w:rPr>
        <w:t>erature u Preku kreću od 21,3 °C</w:t>
      </w:r>
      <w:r>
        <w:rPr>
          <w:rFonts w:ascii="Arial" w:hAnsi="Arial" w:cs="Arial"/>
          <w:sz w:val="20"/>
          <w:szCs w:val="20"/>
        </w:rPr>
        <w:t xml:space="preserve"> </w:t>
      </w:r>
      <w:r w:rsidR="001842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27</w:t>
      </w:r>
      <w:r w:rsidR="00184225">
        <w:rPr>
          <w:rFonts w:ascii="Arial" w:hAnsi="Arial" w:cs="Arial"/>
          <w:sz w:val="20"/>
          <w:szCs w:val="20"/>
        </w:rPr>
        <w:t>,8 °C</w:t>
      </w:r>
      <w:r>
        <w:rPr>
          <w:rFonts w:ascii="Arial" w:hAnsi="Arial" w:cs="Arial"/>
          <w:sz w:val="20"/>
          <w:szCs w:val="20"/>
        </w:rPr>
        <w:t xml:space="preserve"> , a količina oborine od 0</w:t>
      </w:r>
      <w:r w:rsidR="003052D4">
        <w:rPr>
          <w:rFonts w:ascii="Arial" w:hAnsi="Arial" w:cs="Arial"/>
          <w:sz w:val="20"/>
          <w:szCs w:val="20"/>
        </w:rPr>
        <w:t xml:space="preserve">,0 mm – 349,0 mm. </w:t>
      </w:r>
      <w:r>
        <w:rPr>
          <w:rFonts w:ascii="Arial" w:hAnsi="Arial" w:cs="Arial"/>
          <w:sz w:val="20"/>
          <w:szCs w:val="20"/>
        </w:rPr>
        <w:t xml:space="preserve">Ako uspoređujemo naše </w:t>
      </w:r>
      <w:r w:rsidR="003052D4">
        <w:rPr>
          <w:rFonts w:ascii="Arial" w:hAnsi="Arial" w:cs="Arial"/>
          <w:sz w:val="20"/>
          <w:szCs w:val="20"/>
        </w:rPr>
        <w:t xml:space="preserve">srednje mjesečne temperature s </w:t>
      </w:r>
      <w:r>
        <w:rPr>
          <w:rFonts w:ascii="Arial" w:hAnsi="Arial" w:cs="Arial"/>
          <w:sz w:val="20"/>
          <w:szCs w:val="20"/>
        </w:rPr>
        <w:t>višegodišnjim prosjekom možemo uočiti da su temperature zraka izmjerene na našoj postaji više,osim u kolovozu 2006.</w:t>
      </w:r>
      <w:r w:rsidR="00184225">
        <w:rPr>
          <w:rFonts w:ascii="Arial" w:hAnsi="Arial" w:cs="Arial"/>
          <w:sz w:val="20"/>
          <w:szCs w:val="20"/>
        </w:rPr>
        <w:t>g. i srpnju 2014.g.</w:t>
      </w:r>
      <w:r w:rsidR="00CD5506">
        <w:rPr>
          <w:rFonts w:ascii="Arial" w:hAnsi="Arial" w:cs="Arial"/>
          <w:sz w:val="20"/>
          <w:szCs w:val="20"/>
        </w:rPr>
        <w:t xml:space="preserve"> </w:t>
      </w:r>
      <w:r w:rsidR="001842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mjeseci su bili izrazito kišni, što je vjerojatno razlog nižim temperaturama zraka. Osobito veliku razliku u temperaturi zraka uočavamo u 2012.</w:t>
      </w:r>
      <w:r w:rsidR="00184225"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i 2015.g, gdje su prosječne temperature više od prosjeka i to u 7. i 8. mjesecu.</w:t>
      </w:r>
      <w:r w:rsidR="00CD5506">
        <w:rPr>
          <w:rFonts w:ascii="Arial" w:hAnsi="Arial" w:cs="Arial"/>
          <w:sz w:val="20"/>
          <w:szCs w:val="20"/>
        </w:rPr>
        <w:t xml:space="preserve"> </w:t>
      </w:r>
      <w:r w:rsidR="003052D4">
        <w:rPr>
          <w:rFonts w:ascii="Arial" w:hAnsi="Arial" w:cs="Arial"/>
          <w:sz w:val="20"/>
          <w:szCs w:val="20"/>
        </w:rPr>
        <w:t>Nismo uočili da</w:t>
      </w:r>
      <w:r>
        <w:rPr>
          <w:rFonts w:ascii="Arial" w:hAnsi="Arial" w:cs="Arial"/>
          <w:sz w:val="20"/>
          <w:szCs w:val="20"/>
        </w:rPr>
        <w:t xml:space="preserve"> naša ljeta postaju toplija.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Uspoređujući količinu oborine uočavamo veliko odstupanje od višegodišnjeg prosjeka u</w:t>
      </w:r>
      <w:r w:rsidR="003052D4">
        <w:rPr>
          <w:rFonts w:ascii="Arial" w:hAnsi="Arial" w:cs="Arial"/>
          <w:sz w:val="20"/>
          <w:szCs w:val="20"/>
        </w:rPr>
        <w:t xml:space="preserve"> 2014. godini koja je bilo jako kišna</w:t>
      </w:r>
      <w:r>
        <w:rPr>
          <w:rFonts w:ascii="Arial" w:hAnsi="Arial" w:cs="Arial"/>
          <w:sz w:val="20"/>
          <w:szCs w:val="20"/>
        </w:rPr>
        <w:t xml:space="preserve"> te 2011.</w:t>
      </w:r>
      <w:r w:rsidR="00305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3052D4">
        <w:rPr>
          <w:rFonts w:ascii="Arial" w:hAnsi="Arial" w:cs="Arial"/>
          <w:sz w:val="20"/>
          <w:szCs w:val="20"/>
        </w:rPr>
        <w:t>odini</w:t>
      </w:r>
      <w:r>
        <w:rPr>
          <w:rFonts w:ascii="Arial" w:hAnsi="Arial" w:cs="Arial"/>
          <w:sz w:val="20"/>
          <w:szCs w:val="20"/>
        </w:rPr>
        <w:t xml:space="preserve"> koja je bila jako sušna.</w:t>
      </w:r>
      <w:r w:rsidR="00CD55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Zbrojili smo količinu oborine </w:t>
      </w:r>
      <w:r w:rsidR="00934571">
        <w:rPr>
          <w:rFonts w:ascii="Arial" w:hAnsi="Arial" w:cs="Arial"/>
          <w:sz w:val="20"/>
          <w:szCs w:val="20"/>
        </w:rPr>
        <w:t>u ljetnim mjesecima</w:t>
      </w:r>
      <w:r>
        <w:rPr>
          <w:rFonts w:ascii="Arial" w:hAnsi="Arial" w:cs="Arial"/>
          <w:sz w:val="20"/>
          <w:szCs w:val="20"/>
        </w:rPr>
        <w:t xml:space="preserve"> za svaku godinu i podatke prikazali tablično: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2. Ukupna količina ljetne oborine u Preku po godinama</w:t>
      </w:r>
    </w:p>
    <w:tbl>
      <w:tblPr>
        <w:tblStyle w:val="TableGrid"/>
        <w:tblW w:w="0" w:type="auto"/>
        <w:tblLook w:val="04A0"/>
      </w:tblPr>
      <w:tblGrid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839"/>
      </w:tblGrid>
      <w:tr w:rsidR="00777AF1" w:rsidTr="00934571"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88C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934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777AF1" w:rsidRPr="00A34F04" w:rsidRDefault="00777AF1" w:rsidP="00934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Višegod. prosjek</w:t>
            </w:r>
          </w:p>
        </w:tc>
      </w:tr>
      <w:tr w:rsidR="00777AF1" w:rsidTr="00934571"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Količina oborine (mm)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254,0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774" w:type="dxa"/>
            <w:vAlign w:val="center"/>
          </w:tcPr>
          <w:p w:rsidR="00777AF1" w:rsidRPr="002B305F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05F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74" w:type="dxa"/>
            <w:vAlign w:val="center"/>
          </w:tcPr>
          <w:p w:rsidR="00777AF1" w:rsidRPr="002B305F" w:rsidRDefault="00777AF1" w:rsidP="00934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05F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774" w:type="dxa"/>
            <w:vAlign w:val="center"/>
          </w:tcPr>
          <w:p w:rsidR="00777AF1" w:rsidRPr="00A34F04" w:rsidRDefault="00777AF1" w:rsidP="00934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496,6</w:t>
            </w:r>
          </w:p>
        </w:tc>
        <w:tc>
          <w:tcPr>
            <w:tcW w:w="774" w:type="dxa"/>
            <w:vAlign w:val="center"/>
          </w:tcPr>
          <w:p w:rsidR="00777AF1" w:rsidRDefault="00777AF1" w:rsidP="0093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774" w:type="dxa"/>
            <w:vAlign w:val="center"/>
          </w:tcPr>
          <w:p w:rsidR="00777AF1" w:rsidRPr="00A34F04" w:rsidRDefault="00777AF1" w:rsidP="00934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134,0</w:t>
            </w:r>
          </w:p>
        </w:tc>
      </w:tr>
    </w:tbl>
    <w:p w:rsidR="00777AF1" w:rsidRDefault="00777AF1" w:rsidP="00777AF1">
      <w:pPr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Tablice 2 se vi</w:t>
      </w:r>
      <w:r w:rsidR="00B1787B">
        <w:rPr>
          <w:rFonts w:ascii="Arial" w:hAnsi="Arial" w:cs="Arial"/>
          <w:sz w:val="20"/>
          <w:szCs w:val="20"/>
        </w:rPr>
        <w:t xml:space="preserve">di da je najviše kiše u ljetnim mjesecima </w:t>
      </w:r>
      <w:r>
        <w:rPr>
          <w:rFonts w:ascii="Arial" w:hAnsi="Arial" w:cs="Arial"/>
          <w:sz w:val="20"/>
          <w:szCs w:val="20"/>
        </w:rPr>
        <w:t>bilo 2014.</w:t>
      </w:r>
      <w:r w:rsidR="00B17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g, a najmanje 2012.</w:t>
      </w:r>
      <w:r w:rsidR="00B17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g.</w:t>
      </w:r>
      <w:r w:rsidR="00CD5506">
        <w:rPr>
          <w:rFonts w:ascii="Arial" w:hAnsi="Arial" w:cs="Arial"/>
          <w:sz w:val="20"/>
          <w:szCs w:val="20"/>
        </w:rPr>
        <w:t xml:space="preserve"> </w:t>
      </w:r>
      <w:r w:rsidR="00184225">
        <w:rPr>
          <w:rFonts w:ascii="Arial" w:hAnsi="Arial" w:cs="Arial"/>
          <w:sz w:val="20"/>
          <w:szCs w:val="20"/>
        </w:rPr>
        <w:t>Takođ</w:t>
      </w:r>
      <w:r w:rsidR="00B1787B">
        <w:rPr>
          <w:rFonts w:ascii="Arial" w:hAnsi="Arial" w:cs="Arial"/>
          <w:sz w:val="20"/>
          <w:szCs w:val="20"/>
        </w:rPr>
        <w:t>er dosta kišno ljeto bilo je i</w:t>
      </w:r>
      <w:r w:rsidR="00184225">
        <w:rPr>
          <w:rFonts w:ascii="Arial" w:hAnsi="Arial" w:cs="Arial"/>
          <w:sz w:val="20"/>
          <w:szCs w:val="20"/>
        </w:rPr>
        <w:t xml:space="preserve"> 2006.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184225">
        <w:rPr>
          <w:rFonts w:ascii="Arial" w:hAnsi="Arial" w:cs="Arial"/>
          <w:sz w:val="20"/>
          <w:szCs w:val="20"/>
        </w:rPr>
        <w:t>g., a s</w:t>
      </w:r>
      <w:r w:rsidR="00B1787B">
        <w:rPr>
          <w:rFonts w:ascii="Arial" w:hAnsi="Arial" w:cs="Arial"/>
          <w:sz w:val="20"/>
          <w:szCs w:val="20"/>
        </w:rPr>
        <w:t>ušno ljeto je bilo i 2007. godine</w:t>
      </w:r>
      <w:r>
        <w:rPr>
          <w:rFonts w:ascii="Arial" w:hAnsi="Arial" w:cs="Arial"/>
          <w:sz w:val="20"/>
          <w:szCs w:val="20"/>
        </w:rPr>
        <w:t>. Uočili smo da nema pravilnosti u ponavljanu sušnih godina, odnosno da naša ljeta ne postaju sušnija.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Naše podatke smo prikazali i grafički:</w:t>
      </w:r>
    </w:p>
    <w:p w:rsidR="00184225" w:rsidRDefault="00B63D73" w:rsidP="00777AF1">
      <w:pPr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19725" cy="2400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1.- Srednje mjesečne temperature zraka</w:t>
      </w:r>
      <w:r w:rsidR="00B1787B">
        <w:rPr>
          <w:rFonts w:ascii="Arial" w:hAnsi="Arial" w:cs="Arial"/>
          <w:sz w:val="20"/>
          <w:szCs w:val="20"/>
        </w:rPr>
        <w:t xml:space="preserve"> za lipanj (2006.-2015.</w:t>
      </w:r>
      <w:r>
        <w:rPr>
          <w:rFonts w:ascii="Arial" w:hAnsi="Arial" w:cs="Arial"/>
          <w:sz w:val="20"/>
          <w:szCs w:val="20"/>
        </w:rPr>
        <w:t>)</w:t>
      </w:r>
      <w:r w:rsidR="00B1787B">
        <w:rPr>
          <w:rFonts w:ascii="Arial" w:hAnsi="Arial" w:cs="Arial"/>
          <w:sz w:val="20"/>
          <w:szCs w:val="20"/>
        </w:rPr>
        <w:t xml:space="preserve"> u Preku i višegodišnji prosjek za</w:t>
      </w:r>
      <w:r>
        <w:rPr>
          <w:rFonts w:ascii="Arial" w:hAnsi="Arial" w:cs="Arial"/>
          <w:sz w:val="20"/>
          <w:szCs w:val="20"/>
        </w:rPr>
        <w:t xml:space="preserve"> Zad</w:t>
      </w:r>
      <w:r w:rsidR="00B178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(1961.-1990.)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Grafikona 1. se vidi da se srednja mjesečna temp</w:t>
      </w:r>
      <w:r w:rsidR="00B1787B">
        <w:rPr>
          <w:rFonts w:ascii="Arial" w:hAnsi="Arial" w:cs="Arial"/>
          <w:sz w:val="20"/>
          <w:szCs w:val="20"/>
        </w:rPr>
        <w:t xml:space="preserve">eratura zraka u Preku u </w:t>
      </w:r>
      <w:r>
        <w:rPr>
          <w:rFonts w:ascii="Arial" w:hAnsi="Arial" w:cs="Arial"/>
          <w:sz w:val="20"/>
          <w:szCs w:val="20"/>
        </w:rPr>
        <w:t>lipnju približava višegodišnjem pr</w:t>
      </w:r>
      <w:r w:rsidR="00622979">
        <w:rPr>
          <w:rFonts w:ascii="Arial" w:hAnsi="Arial" w:cs="Arial"/>
          <w:sz w:val="20"/>
          <w:szCs w:val="20"/>
        </w:rPr>
        <w:t>osjeku u 2009</w:t>
      </w:r>
      <w:r w:rsidR="00B1787B">
        <w:rPr>
          <w:rFonts w:ascii="Arial" w:hAnsi="Arial" w:cs="Arial"/>
          <w:sz w:val="20"/>
          <w:szCs w:val="20"/>
        </w:rPr>
        <w:t>.godini, a u svim ostalim godinama</w:t>
      </w:r>
      <w:r w:rsidR="00622979">
        <w:rPr>
          <w:rFonts w:ascii="Arial" w:hAnsi="Arial" w:cs="Arial"/>
          <w:sz w:val="20"/>
          <w:szCs w:val="20"/>
        </w:rPr>
        <w:t xml:space="preserve"> su bile više od višegodišnjeg prosjeka za Zadar,</w:t>
      </w:r>
      <w:r w:rsidR="00B1787B">
        <w:rPr>
          <w:rFonts w:ascii="Arial" w:hAnsi="Arial" w:cs="Arial"/>
          <w:sz w:val="20"/>
          <w:szCs w:val="20"/>
        </w:rPr>
        <w:t xml:space="preserve"> a posebno 2007.</w:t>
      </w:r>
      <w:r w:rsidR="00622979">
        <w:rPr>
          <w:rFonts w:ascii="Arial" w:hAnsi="Arial" w:cs="Arial"/>
          <w:sz w:val="20"/>
          <w:szCs w:val="20"/>
        </w:rPr>
        <w:t xml:space="preserve"> i 2012.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622979">
        <w:rPr>
          <w:rFonts w:ascii="Arial" w:hAnsi="Arial" w:cs="Arial"/>
          <w:sz w:val="20"/>
          <w:szCs w:val="20"/>
        </w:rPr>
        <w:t>g</w:t>
      </w:r>
      <w:r w:rsidR="00B1787B">
        <w:rPr>
          <w:rFonts w:ascii="Arial" w:hAnsi="Arial" w:cs="Arial"/>
          <w:sz w:val="20"/>
          <w:szCs w:val="20"/>
        </w:rPr>
        <w:t>odine</w:t>
      </w:r>
      <w:r w:rsidR="00622979">
        <w:rPr>
          <w:rFonts w:ascii="Arial" w:hAnsi="Arial" w:cs="Arial"/>
          <w:sz w:val="20"/>
          <w:szCs w:val="20"/>
        </w:rPr>
        <w:t>.</w:t>
      </w:r>
    </w:p>
    <w:p w:rsidR="00777AF1" w:rsidRDefault="00B63D73" w:rsidP="00777AF1">
      <w:pPr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5553075" cy="24765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2.- Srednje mjesečne temperature zraka</w:t>
      </w:r>
      <w:r w:rsidR="00B1787B">
        <w:rPr>
          <w:rFonts w:ascii="Arial" w:hAnsi="Arial" w:cs="Arial"/>
          <w:sz w:val="20"/>
          <w:szCs w:val="20"/>
        </w:rPr>
        <w:t xml:space="preserve"> za srpanj (2006.-2015.</w:t>
      </w:r>
      <w:r>
        <w:rPr>
          <w:rFonts w:ascii="Arial" w:hAnsi="Arial" w:cs="Arial"/>
          <w:sz w:val="20"/>
          <w:szCs w:val="20"/>
        </w:rPr>
        <w:t xml:space="preserve">) </w:t>
      </w:r>
      <w:r w:rsidR="00EC236D">
        <w:rPr>
          <w:rFonts w:ascii="Arial" w:hAnsi="Arial" w:cs="Arial"/>
          <w:sz w:val="20"/>
          <w:szCs w:val="20"/>
        </w:rPr>
        <w:t>u Preku i višegodišnji prosjek</w:t>
      </w:r>
      <w:r w:rsidR="00B1787B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Zad</w:t>
      </w:r>
      <w:r w:rsidR="00B178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(1961.-1990.)</w:t>
      </w:r>
    </w:p>
    <w:p w:rsidR="00A05AD2" w:rsidRDefault="00A05AD2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Grafi</w:t>
      </w:r>
      <w:r w:rsidR="00B1787B">
        <w:rPr>
          <w:rFonts w:ascii="Arial" w:hAnsi="Arial" w:cs="Arial"/>
          <w:sz w:val="20"/>
          <w:szCs w:val="20"/>
        </w:rPr>
        <w:t xml:space="preserve">kona 2. se vidi da su u </w:t>
      </w:r>
      <w:r>
        <w:rPr>
          <w:rFonts w:ascii="Arial" w:hAnsi="Arial" w:cs="Arial"/>
          <w:sz w:val="20"/>
          <w:szCs w:val="20"/>
        </w:rPr>
        <w:t>srpn</w:t>
      </w:r>
      <w:r w:rsidR="00B1787B">
        <w:rPr>
          <w:rFonts w:ascii="Arial" w:hAnsi="Arial" w:cs="Arial"/>
          <w:sz w:val="20"/>
          <w:szCs w:val="20"/>
        </w:rPr>
        <w:t xml:space="preserve">ju prosječne temperature zraka </w:t>
      </w:r>
      <w:r>
        <w:rPr>
          <w:rFonts w:ascii="Arial" w:hAnsi="Arial" w:cs="Arial"/>
          <w:sz w:val="20"/>
          <w:szCs w:val="20"/>
        </w:rPr>
        <w:t>u Preku bile više od višegodišnjeg prosjeka za Zadar, osim godine 2014. Razlog tome je vjerojatno taj</w:t>
      </w:r>
      <w:r w:rsidR="00B1787B">
        <w:rPr>
          <w:rFonts w:ascii="Arial" w:hAnsi="Arial" w:cs="Arial"/>
          <w:sz w:val="20"/>
          <w:szCs w:val="20"/>
        </w:rPr>
        <w:t xml:space="preserve"> što je taj mjesec</w:t>
      </w:r>
      <w:r>
        <w:rPr>
          <w:rFonts w:ascii="Arial" w:hAnsi="Arial" w:cs="Arial"/>
          <w:sz w:val="20"/>
          <w:szCs w:val="20"/>
        </w:rPr>
        <w:t xml:space="preserve"> obilovao oborinama.</w:t>
      </w:r>
      <w:r w:rsidR="00B1787B">
        <w:rPr>
          <w:rFonts w:ascii="Arial" w:hAnsi="Arial" w:cs="Arial"/>
          <w:sz w:val="20"/>
          <w:szCs w:val="20"/>
        </w:rPr>
        <w:t xml:space="preserve"> U 2012.</w:t>
      </w:r>
      <w:r w:rsidR="00622979">
        <w:rPr>
          <w:rFonts w:ascii="Arial" w:hAnsi="Arial" w:cs="Arial"/>
          <w:sz w:val="20"/>
          <w:szCs w:val="20"/>
        </w:rPr>
        <w:t xml:space="preserve"> i 2015.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622979">
        <w:rPr>
          <w:rFonts w:ascii="Arial" w:hAnsi="Arial" w:cs="Arial"/>
          <w:sz w:val="20"/>
          <w:szCs w:val="20"/>
        </w:rPr>
        <w:t>g</w:t>
      </w:r>
      <w:r w:rsidR="00B1787B">
        <w:rPr>
          <w:rFonts w:ascii="Arial" w:hAnsi="Arial" w:cs="Arial"/>
          <w:sz w:val="20"/>
          <w:szCs w:val="20"/>
        </w:rPr>
        <w:t>odini</w:t>
      </w:r>
      <w:r w:rsidR="00622979">
        <w:rPr>
          <w:rFonts w:ascii="Arial" w:hAnsi="Arial" w:cs="Arial"/>
          <w:sz w:val="20"/>
          <w:szCs w:val="20"/>
        </w:rPr>
        <w:t xml:space="preserve"> srednje temperature zraka su puno više od višegodišnjeg prosjeka. Mogući razlog tome je iznimno malo oborina u tom razdoblju</w:t>
      </w:r>
      <w:r w:rsidR="00B1787B">
        <w:rPr>
          <w:rFonts w:ascii="Arial" w:hAnsi="Arial" w:cs="Arial"/>
          <w:sz w:val="20"/>
          <w:szCs w:val="20"/>
        </w:rPr>
        <w:t xml:space="preserve"> ( 2012. </w:t>
      </w:r>
      <w:r w:rsidR="00622979">
        <w:rPr>
          <w:rFonts w:ascii="Arial" w:hAnsi="Arial" w:cs="Arial"/>
          <w:sz w:val="20"/>
          <w:szCs w:val="20"/>
        </w:rPr>
        <w:t>-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622979">
        <w:rPr>
          <w:rFonts w:ascii="Arial" w:hAnsi="Arial" w:cs="Arial"/>
          <w:sz w:val="20"/>
          <w:szCs w:val="20"/>
        </w:rPr>
        <w:t>10,5 mm, a 2015.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622979">
        <w:rPr>
          <w:rFonts w:ascii="Arial" w:hAnsi="Arial" w:cs="Arial"/>
          <w:sz w:val="20"/>
          <w:szCs w:val="20"/>
        </w:rPr>
        <w:t>-</w:t>
      </w:r>
      <w:r w:rsidR="00B1787B">
        <w:rPr>
          <w:rFonts w:ascii="Arial" w:hAnsi="Arial" w:cs="Arial"/>
          <w:sz w:val="20"/>
          <w:szCs w:val="20"/>
        </w:rPr>
        <w:t xml:space="preserve"> </w:t>
      </w:r>
      <w:r w:rsidR="00622979">
        <w:rPr>
          <w:rFonts w:ascii="Arial" w:hAnsi="Arial" w:cs="Arial"/>
          <w:sz w:val="20"/>
          <w:szCs w:val="20"/>
        </w:rPr>
        <w:t>16,0 mm)</w:t>
      </w:r>
      <w:r w:rsidR="00B1787B">
        <w:rPr>
          <w:rFonts w:ascii="Arial" w:hAnsi="Arial" w:cs="Arial"/>
          <w:sz w:val="20"/>
          <w:szCs w:val="20"/>
        </w:rPr>
        <w:t>.</w:t>
      </w:r>
    </w:p>
    <w:p w:rsidR="00777AF1" w:rsidRDefault="00B63D73" w:rsidP="00777AF1">
      <w:pPr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124450" cy="22574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Grafikon 3.- Srednje mjesečne temperature zraka za kolovoz (2006.-2015.) u Preku i višegodišnji prosjek </w:t>
      </w:r>
      <w:r w:rsidR="00EC236D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Zad</w:t>
      </w:r>
      <w:r w:rsidR="00EC236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(1961.-1990.)</w:t>
      </w:r>
    </w:p>
    <w:p w:rsidR="00A05AD2" w:rsidRDefault="00EC236D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Grafikona 3. se vidi</w:t>
      </w:r>
      <w:r w:rsidR="00A05AD2">
        <w:rPr>
          <w:rFonts w:ascii="Arial" w:hAnsi="Arial" w:cs="Arial"/>
          <w:sz w:val="20"/>
          <w:szCs w:val="20"/>
        </w:rPr>
        <w:t xml:space="preserve"> da je srednja mjesečna temperatura</w:t>
      </w:r>
      <w:r w:rsidR="00622979">
        <w:rPr>
          <w:rFonts w:ascii="Arial" w:hAnsi="Arial" w:cs="Arial"/>
          <w:sz w:val="20"/>
          <w:szCs w:val="20"/>
        </w:rPr>
        <w:t xml:space="preserve"> zraka</w:t>
      </w:r>
      <w:r w:rsidR="00A05AD2">
        <w:rPr>
          <w:rFonts w:ascii="Arial" w:hAnsi="Arial" w:cs="Arial"/>
          <w:sz w:val="20"/>
          <w:szCs w:val="20"/>
        </w:rPr>
        <w:t xml:space="preserve"> u kolovozu 2006.g. niža od višegodišnjeg prosjeka, što možemo pokrijepiti činjenicom da je taj mjesec obilovao oborinama</w:t>
      </w:r>
      <w:r>
        <w:rPr>
          <w:rFonts w:ascii="Arial" w:hAnsi="Arial" w:cs="Arial"/>
          <w:sz w:val="20"/>
          <w:szCs w:val="20"/>
        </w:rPr>
        <w:t xml:space="preserve"> </w:t>
      </w:r>
      <w:r w:rsidR="00E357E0">
        <w:rPr>
          <w:rFonts w:ascii="Arial" w:hAnsi="Arial" w:cs="Arial"/>
          <w:sz w:val="20"/>
          <w:szCs w:val="20"/>
        </w:rPr>
        <w:t>(202,0 mm).</w:t>
      </w:r>
      <w:r>
        <w:rPr>
          <w:rFonts w:ascii="Arial" w:hAnsi="Arial" w:cs="Arial"/>
          <w:sz w:val="20"/>
          <w:szCs w:val="20"/>
        </w:rPr>
        <w:t xml:space="preserve"> Godine 2010. i 2014.</w:t>
      </w:r>
      <w:r w:rsidR="00A05AD2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približavaju prosjeku, a iznad</w:t>
      </w:r>
      <w:r w:rsidR="00A05AD2">
        <w:rPr>
          <w:rFonts w:ascii="Arial" w:hAnsi="Arial" w:cs="Arial"/>
          <w:sz w:val="20"/>
          <w:szCs w:val="20"/>
        </w:rPr>
        <w:t>prosječno topli</w:t>
      </w:r>
      <w:r>
        <w:rPr>
          <w:rFonts w:ascii="Arial" w:hAnsi="Arial" w:cs="Arial"/>
          <w:sz w:val="20"/>
          <w:szCs w:val="20"/>
        </w:rPr>
        <w:t xml:space="preserve"> kolovoz je bio 2009.,2012. i </w:t>
      </w:r>
      <w:r w:rsidR="00E357E0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. godine</w:t>
      </w:r>
      <w:r w:rsidR="00A05AD2">
        <w:rPr>
          <w:rFonts w:ascii="Arial" w:hAnsi="Arial" w:cs="Arial"/>
          <w:sz w:val="20"/>
          <w:szCs w:val="20"/>
        </w:rPr>
        <w:t>.</w:t>
      </w:r>
    </w:p>
    <w:p w:rsidR="00A05AD2" w:rsidRDefault="00A05AD2" w:rsidP="00A0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smo i količinu oborin</w:t>
      </w:r>
      <w:r w:rsidR="00EC23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prikazali grafički:</w:t>
      </w:r>
    </w:p>
    <w:p w:rsidR="00777AF1" w:rsidRDefault="00B63D73" w:rsidP="00777AF1">
      <w:pPr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5038725" cy="2590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Grafikon 4- Ljetne </w:t>
      </w:r>
      <w:r w:rsidR="00EC236D">
        <w:rPr>
          <w:rFonts w:ascii="Arial" w:hAnsi="Arial" w:cs="Arial"/>
          <w:sz w:val="20"/>
          <w:szCs w:val="20"/>
        </w:rPr>
        <w:t>količine oborina u Preku (2006.-2016.)</w:t>
      </w:r>
      <w:r>
        <w:rPr>
          <w:rFonts w:ascii="Arial" w:hAnsi="Arial" w:cs="Arial"/>
          <w:sz w:val="20"/>
          <w:szCs w:val="20"/>
        </w:rPr>
        <w:t xml:space="preserve"> i višegodišnji prosjek</w:t>
      </w:r>
      <w:r w:rsidR="00EC236D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Zad</w:t>
      </w:r>
      <w:r w:rsidR="00EC236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</w:t>
      </w:r>
      <w:r w:rsidRPr="009010BD">
        <w:rPr>
          <w:rFonts w:ascii="Arial" w:hAnsi="Arial" w:cs="Arial"/>
          <w:sz w:val="20"/>
          <w:szCs w:val="20"/>
        </w:rPr>
        <w:t>(1961</w:t>
      </w:r>
      <w:r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-1990</w:t>
      </w:r>
      <w:r>
        <w:rPr>
          <w:rFonts w:ascii="Arial" w:hAnsi="Arial" w:cs="Arial"/>
          <w:sz w:val="20"/>
          <w:szCs w:val="20"/>
        </w:rPr>
        <w:t>.</w:t>
      </w:r>
      <w:r w:rsidRPr="009010BD">
        <w:rPr>
          <w:rFonts w:ascii="Arial" w:hAnsi="Arial" w:cs="Arial"/>
          <w:sz w:val="20"/>
          <w:szCs w:val="20"/>
        </w:rPr>
        <w:t>)</w:t>
      </w:r>
    </w:p>
    <w:p w:rsidR="00777AF1" w:rsidRDefault="00777AF1" w:rsidP="00777AF1">
      <w:pPr>
        <w:pStyle w:val="NoSpacing"/>
      </w:pPr>
      <w:r>
        <w:t>Iz Grafikona 4</w:t>
      </w:r>
      <w:r w:rsidR="00A05AD2">
        <w:t>.</w:t>
      </w:r>
      <w:r>
        <w:t xml:space="preserve"> se vidi da ukupna količina oborine koja je padala tijekom ljeta u razdoblju od 2006.-2015.g u Preku ne odudara puno od višegodišnjeg p</w:t>
      </w:r>
      <w:r w:rsidR="00E357E0">
        <w:t>rosjeka za Zadar, osim ljeta 200</w:t>
      </w:r>
      <w:r w:rsidR="00EC236D">
        <w:t xml:space="preserve">6. </w:t>
      </w:r>
      <w:r>
        <w:t>i 2014.</w:t>
      </w:r>
      <w:r w:rsidR="00EC236D">
        <w:t xml:space="preserve"> </w:t>
      </w:r>
      <w:r>
        <w:t>g</w:t>
      </w:r>
      <w:r w:rsidR="00EC236D">
        <w:t>odine</w:t>
      </w:r>
      <w:r>
        <w:t xml:space="preserve"> koja su bila</w:t>
      </w:r>
      <w:r w:rsidR="00EC236D">
        <w:t xml:space="preserve"> ekstremno kišna te ljeta 2012. godine</w:t>
      </w:r>
      <w:r>
        <w:t>. koje je bilo ekstremno sušno.</w:t>
      </w:r>
      <w:r w:rsidR="00CD5506">
        <w:t xml:space="preserve"> </w:t>
      </w:r>
      <w:bookmarkStart w:id="0" w:name="_GoBack"/>
      <w:bookmarkEnd w:id="0"/>
      <w:r w:rsidR="00EC236D">
        <w:t xml:space="preserve"> Sušno ljeto je bilo i 2007. godine.</w:t>
      </w:r>
    </w:p>
    <w:p w:rsidR="00777AF1" w:rsidRDefault="00777AF1" w:rsidP="00777AF1">
      <w:pPr>
        <w:pStyle w:val="NoSpacing"/>
      </w:pPr>
      <w:r>
        <w:t xml:space="preserve">Vidimo da nema pravilnosti u pojavljivanju sušnih i kišnih godina u ovom našem istraživanom </w:t>
      </w:r>
      <w:r w:rsidR="00EC236D">
        <w:t>razdoblju</w:t>
      </w:r>
      <w:r>
        <w:t xml:space="preserve">, kao ni naznaka da bi ljeta mogla biti sve </w:t>
      </w:r>
      <w:r w:rsidR="00EC236D">
        <w:t>sušnija</w:t>
      </w:r>
      <w:r>
        <w:t>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Kako se višegodišnji prosjek izračunava za razdoblje od 30 godina tako smo i mi odlučili</w:t>
      </w:r>
      <w:r w:rsidR="00EC236D">
        <w:rPr>
          <w:rFonts w:ascii="Arial" w:hAnsi="Arial" w:cs="Arial"/>
          <w:sz w:val="20"/>
          <w:szCs w:val="20"/>
        </w:rPr>
        <w:t xml:space="preserve"> izračunati naš desetogodišnji </w:t>
      </w:r>
      <w:r>
        <w:rPr>
          <w:rFonts w:ascii="Arial" w:hAnsi="Arial" w:cs="Arial"/>
          <w:sz w:val="20"/>
          <w:szCs w:val="20"/>
        </w:rPr>
        <w:t>pr</w:t>
      </w:r>
      <w:r w:rsidR="00EC236D">
        <w:rPr>
          <w:rFonts w:ascii="Arial" w:hAnsi="Arial" w:cs="Arial"/>
          <w:sz w:val="20"/>
          <w:szCs w:val="20"/>
        </w:rPr>
        <w:t>osjek za ljetnu količinu oborine</w:t>
      </w:r>
      <w:r>
        <w:rPr>
          <w:rFonts w:ascii="Arial" w:hAnsi="Arial" w:cs="Arial"/>
          <w:sz w:val="20"/>
          <w:szCs w:val="20"/>
        </w:rPr>
        <w:t xml:space="preserve"> u Preku i dobili smo vrijednost 142,4 mm. Uspoređujući </w:t>
      </w:r>
      <w:r w:rsidR="00EC236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sa službenim vrijednostima za Zadar</w:t>
      </w:r>
      <w:r w:rsidR="00EC2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(134 mm), zaključujemo da naša vrijednost ne </w:t>
      </w:r>
      <w:r>
        <w:rPr>
          <w:rFonts w:ascii="Arial" w:hAnsi="Arial" w:cs="Arial"/>
          <w:sz w:val="20"/>
          <w:szCs w:val="20"/>
        </w:rPr>
        <w:lastRenderedPageBreak/>
        <w:t>odskaće puno i prema tome da naše istraživano razdoblje</w:t>
      </w:r>
      <w:r w:rsidR="00EC2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(2006.-2015.) </w:t>
      </w:r>
      <w:r w:rsidR="00EC236D">
        <w:rPr>
          <w:rFonts w:ascii="Arial" w:hAnsi="Arial" w:cs="Arial"/>
          <w:sz w:val="20"/>
          <w:szCs w:val="20"/>
        </w:rPr>
        <w:t xml:space="preserve">po količini oborine </w:t>
      </w:r>
      <w:r>
        <w:rPr>
          <w:rFonts w:ascii="Arial" w:hAnsi="Arial" w:cs="Arial"/>
          <w:sz w:val="20"/>
          <w:szCs w:val="20"/>
        </w:rPr>
        <w:t>ne odudara puno od višegodišnjeg prosjek</w:t>
      </w:r>
      <w:r w:rsidR="00EC236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 smo napravili i sa srednjom</w:t>
      </w:r>
      <w:r w:rsidR="00AE5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mjesečnom temperaturom zraka u ljet</w:t>
      </w:r>
      <w:r w:rsidR="00AE529D">
        <w:rPr>
          <w:rFonts w:ascii="Arial" w:hAnsi="Arial" w:cs="Arial"/>
          <w:sz w:val="20"/>
          <w:szCs w:val="20"/>
        </w:rPr>
        <w:t>nim mjesecima</w:t>
      </w:r>
      <w:r>
        <w:rPr>
          <w:rFonts w:ascii="Arial" w:hAnsi="Arial" w:cs="Arial"/>
          <w:sz w:val="20"/>
          <w:szCs w:val="20"/>
        </w:rPr>
        <w:t>. Rezultate smo prikazali tablično:</w:t>
      </w:r>
    </w:p>
    <w:p w:rsidR="00777AF1" w:rsidRPr="009010BD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3. Višegodišnji prosjek srednjih mjesečnih temperatura zraka (°C) u Preku u ljetnim mjesecima  (2006.-2015.). i u Zadru (1961.-1990.)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83" w:type="dxa"/>
        <w:tblLook w:val="04A0"/>
      </w:tblPr>
      <w:tblGrid>
        <w:gridCol w:w="1470"/>
        <w:gridCol w:w="960"/>
        <w:gridCol w:w="960"/>
        <w:gridCol w:w="960"/>
      </w:tblGrid>
      <w:tr w:rsidR="00777AF1" w:rsidRPr="00500DA5" w:rsidTr="00AE529D">
        <w:trPr>
          <w:trHeight w:val="315"/>
        </w:trPr>
        <w:tc>
          <w:tcPr>
            <w:tcW w:w="1470" w:type="dxa"/>
            <w:vAlign w:val="center"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5C2">
              <w:rPr>
                <w:rFonts w:ascii="Arial" w:hAnsi="Arial" w:cs="Arial"/>
                <w:b/>
                <w:sz w:val="16"/>
                <w:szCs w:val="16"/>
              </w:rPr>
              <w:t>MJESEC</w:t>
            </w:r>
          </w:p>
        </w:tc>
        <w:tc>
          <w:tcPr>
            <w:tcW w:w="960" w:type="dxa"/>
            <w:noWrap/>
            <w:vAlign w:val="center"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5C2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960" w:type="dxa"/>
            <w:noWrap/>
            <w:vAlign w:val="center"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5C2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960" w:type="dxa"/>
            <w:noWrap/>
            <w:vAlign w:val="center"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5C2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</w:tr>
      <w:tr w:rsidR="00777AF1" w:rsidRPr="00500DA5" w:rsidTr="00AE529D">
        <w:trPr>
          <w:trHeight w:val="315"/>
        </w:trPr>
        <w:tc>
          <w:tcPr>
            <w:tcW w:w="1470" w:type="dxa"/>
            <w:vAlign w:val="center"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5C2">
              <w:rPr>
                <w:rFonts w:ascii="Arial" w:hAnsi="Arial" w:cs="Arial"/>
                <w:sz w:val="16"/>
                <w:szCs w:val="16"/>
              </w:rPr>
              <w:t>PREKO</w:t>
            </w:r>
          </w:p>
        </w:tc>
        <w:tc>
          <w:tcPr>
            <w:tcW w:w="960" w:type="dxa"/>
            <w:noWrap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960" w:type="dxa"/>
            <w:noWrap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noWrap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</w:tr>
      <w:tr w:rsidR="00777AF1" w:rsidRPr="00500DA5" w:rsidTr="00AE529D">
        <w:trPr>
          <w:trHeight w:val="315"/>
        </w:trPr>
        <w:tc>
          <w:tcPr>
            <w:tcW w:w="1470" w:type="dxa"/>
            <w:vAlign w:val="center"/>
          </w:tcPr>
          <w:p w:rsidR="00777AF1" w:rsidRPr="00F225C2" w:rsidRDefault="00AE529D" w:rsidP="00AE52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ZADAR -</w:t>
            </w:r>
            <w:r w:rsidR="00777AF1">
              <w:rPr>
                <w:rFonts w:ascii="Arial" w:hAnsi="Arial" w:cs="Arial"/>
                <w:bCs/>
                <w:sz w:val="16"/>
                <w:szCs w:val="16"/>
              </w:rPr>
              <w:t xml:space="preserve">VIŠEGODIŠNJI </w:t>
            </w:r>
            <w:r w:rsidR="00777AF1" w:rsidRPr="00F225C2">
              <w:rPr>
                <w:rFonts w:ascii="Arial" w:hAnsi="Arial" w:cs="Arial"/>
                <w:bCs/>
                <w:sz w:val="16"/>
                <w:szCs w:val="16"/>
              </w:rPr>
              <w:t>PROSJEK</w:t>
            </w:r>
          </w:p>
        </w:tc>
        <w:tc>
          <w:tcPr>
            <w:tcW w:w="960" w:type="dxa"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5C2">
              <w:rPr>
                <w:rFonts w:ascii="Arial" w:hAnsi="Arial" w:cs="Arial"/>
                <w:bCs/>
                <w:sz w:val="18"/>
                <w:szCs w:val="18"/>
              </w:rPr>
              <w:t>21,3</w:t>
            </w:r>
          </w:p>
        </w:tc>
        <w:tc>
          <w:tcPr>
            <w:tcW w:w="960" w:type="dxa"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5C2">
              <w:rPr>
                <w:rFonts w:ascii="Arial" w:hAnsi="Arial" w:cs="Arial"/>
                <w:bCs/>
                <w:sz w:val="18"/>
                <w:szCs w:val="18"/>
              </w:rPr>
              <w:t>23,9</w:t>
            </w:r>
          </w:p>
        </w:tc>
        <w:tc>
          <w:tcPr>
            <w:tcW w:w="960" w:type="dxa"/>
            <w:vAlign w:val="center"/>
            <w:hideMark/>
          </w:tcPr>
          <w:p w:rsidR="00777AF1" w:rsidRPr="00F225C2" w:rsidRDefault="00777AF1" w:rsidP="00AE5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5C2">
              <w:rPr>
                <w:rFonts w:ascii="Arial" w:hAnsi="Arial" w:cs="Arial"/>
                <w:bCs/>
                <w:sz w:val="18"/>
                <w:szCs w:val="18"/>
              </w:rPr>
              <w:t>23,7</w:t>
            </w:r>
          </w:p>
        </w:tc>
      </w:tr>
    </w:tbl>
    <w:p w:rsidR="00777AF1" w:rsidRDefault="00777AF1" w:rsidP="00777AF1">
      <w:pPr>
        <w:pStyle w:val="NoSpacing"/>
      </w:pPr>
    </w:p>
    <w:p w:rsidR="00777AF1" w:rsidRDefault="00777AF1" w:rsidP="00777AF1">
      <w:pPr>
        <w:pStyle w:val="NoSpacing"/>
      </w:pPr>
    </w:p>
    <w:p w:rsidR="00777AF1" w:rsidRDefault="00777AF1" w:rsidP="00777AF1">
      <w:pPr>
        <w:pStyle w:val="NoSpacing"/>
      </w:pPr>
    </w:p>
    <w:p w:rsidR="00777AF1" w:rsidRDefault="00777AF1" w:rsidP="00777AF1">
      <w:pPr>
        <w:pStyle w:val="NoSpacing"/>
      </w:pPr>
    </w:p>
    <w:p w:rsidR="00777AF1" w:rsidRDefault="00777AF1" w:rsidP="00777AF1">
      <w:pPr>
        <w:pStyle w:val="NoSpacing"/>
      </w:pPr>
      <w:r>
        <w:br w:type="textWrapping" w:clear="all"/>
        <w:t>Iz</w:t>
      </w:r>
      <w:r w:rsidR="00E357E0">
        <w:t xml:space="preserve"> </w:t>
      </w:r>
      <w:r>
        <w:t xml:space="preserve">Tablice 3 se vidi da je naš višegodišnji prosjek srednjih  mjesečnih temperatura </w:t>
      </w:r>
      <w:r w:rsidR="00E357E0">
        <w:t xml:space="preserve">zraka za ispitivano razdoblje </w:t>
      </w:r>
      <w:r>
        <w:t xml:space="preserve">veći od službenog prosjeka. Razlog može biti taj da se dnevne temperature zraka ne mjere na isti način prema GLOBE protokolima i na meteorološkim postajama, zatim naša mjerenja obavljaju učenici pa može biti </w:t>
      </w:r>
      <w:r w:rsidR="00690C60">
        <w:t>po</w:t>
      </w:r>
      <w:r>
        <w:t>grešaka i konačno naša meteorološka kučica nije postavljena na idealnom mjestu ( nalazi se blizu školske zgrade).</w:t>
      </w:r>
    </w:p>
    <w:p w:rsidR="00777AF1" w:rsidRPr="009010BD" w:rsidRDefault="00777AF1" w:rsidP="00777AF1">
      <w:pPr>
        <w:pStyle w:val="NoSpacing"/>
      </w:pPr>
      <w:r>
        <w:t>Ili ipak dolazi do zatopljenja....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Htjeli smo vidjeti kako su na službenim stranicama DHMZ-a ocijenili k</w:t>
      </w:r>
      <w:r>
        <w:rPr>
          <w:rFonts w:ascii="Arial" w:hAnsi="Arial" w:cs="Arial"/>
          <w:sz w:val="20"/>
          <w:szCs w:val="20"/>
        </w:rPr>
        <w:t>limu u prošlim godinama.</w:t>
      </w:r>
    </w:p>
    <w:p w:rsidR="00777AF1" w:rsidRDefault="00777AF1" w:rsidP="00777A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Analizom ljetne količine oborine i odstupanja od srednjih mjesečnih temperatura zraka u ljetu u proteklih 10 godina, prema službenim podatcima DHMZ-a doznali smo sljedeće:</w:t>
      </w:r>
    </w:p>
    <w:p w:rsidR="00777AF1" w:rsidRDefault="00777AF1" w:rsidP="00777AF1">
      <w:pPr>
        <w:pStyle w:val="NoSpacing"/>
      </w:pPr>
      <w:r>
        <w:t>2009.g je bila sušna i ekstremno topla</w:t>
      </w:r>
    </w:p>
    <w:p w:rsidR="00777AF1" w:rsidRDefault="00777AF1" w:rsidP="00777AF1">
      <w:pPr>
        <w:pStyle w:val="NoSpacing"/>
      </w:pPr>
      <w:r>
        <w:t>2010.g je bila sušna i ekstremno topla</w:t>
      </w:r>
    </w:p>
    <w:p w:rsidR="00777AF1" w:rsidRDefault="00777AF1" w:rsidP="00777AF1">
      <w:pPr>
        <w:pStyle w:val="NoSpacing"/>
      </w:pPr>
      <w:r>
        <w:t>2011.g je bila sušna i ekstremno topla</w:t>
      </w:r>
    </w:p>
    <w:p w:rsidR="00777AF1" w:rsidRDefault="00777AF1" w:rsidP="00777AF1">
      <w:pPr>
        <w:pStyle w:val="NoSpacing"/>
      </w:pPr>
      <w:r>
        <w:t xml:space="preserve">2012.g je bila </w:t>
      </w:r>
      <w:r w:rsidRPr="00731CCF">
        <w:rPr>
          <w:b/>
        </w:rPr>
        <w:t>ekstremno sušna</w:t>
      </w:r>
      <w:r>
        <w:t xml:space="preserve"> i ekstremno topla</w:t>
      </w:r>
    </w:p>
    <w:p w:rsidR="00777AF1" w:rsidRDefault="00777AF1" w:rsidP="00777AF1">
      <w:pPr>
        <w:pStyle w:val="NoSpacing"/>
      </w:pPr>
      <w:r>
        <w:t>2013.g je bila normalno kišna i ekstremno topla</w:t>
      </w:r>
    </w:p>
    <w:p w:rsidR="00777AF1" w:rsidRDefault="00777AF1" w:rsidP="00777AF1">
      <w:pPr>
        <w:pStyle w:val="NoSpacing"/>
      </w:pPr>
      <w:r>
        <w:t xml:space="preserve">2014.g je bila </w:t>
      </w:r>
      <w:r w:rsidRPr="00731CCF">
        <w:rPr>
          <w:b/>
        </w:rPr>
        <w:t>vrlo kišna</w:t>
      </w:r>
      <w:r>
        <w:t xml:space="preserve"> i vrlo topla</w:t>
      </w:r>
    </w:p>
    <w:p w:rsidR="00777AF1" w:rsidRDefault="00777AF1" w:rsidP="00777AF1">
      <w:pPr>
        <w:pStyle w:val="NoSpacing"/>
      </w:pPr>
      <w:r>
        <w:t>2015.g je bila normalno kišna i ekstremno topla</w:t>
      </w:r>
    </w:p>
    <w:p w:rsidR="00777AF1" w:rsidRDefault="00777AF1" w:rsidP="00777AF1">
      <w:pPr>
        <w:pStyle w:val="NoSpacing"/>
      </w:pPr>
      <w:r>
        <w:t>Za ostale godine našeg istraživanja nismo pronašli podatke na internetu. Iz pronađenih podataka možemo uočiti dvije godine: ljeto 2012., kao ekstremno sušno i ljeto 2014. kao ekstremno kišno što se podudara i s našim mjerenjima.</w:t>
      </w:r>
    </w:p>
    <w:p w:rsidR="00777AF1" w:rsidRDefault="00690C60" w:rsidP="00777AF1">
      <w:pPr>
        <w:spacing w:after="0"/>
        <w:jc w:val="both"/>
      </w:pPr>
      <w:r>
        <w:t>Sva</w:t>
      </w:r>
      <w:r w:rsidR="00F429E5">
        <w:t xml:space="preserve"> ljeta osim 2014. su ocijenjena kao ekstremno topla</w:t>
      </w:r>
      <w:r w:rsidR="00777AF1">
        <w:t xml:space="preserve"> te su naši rezultati – više temperature od prosjeka za Zadar – u skladu s time.</w:t>
      </w:r>
    </w:p>
    <w:p w:rsidR="00E357E0" w:rsidRPr="00736C36" w:rsidRDefault="00E357E0" w:rsidP="00777A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7AF1" w:rsidRDefault="00777AF1" w:rsidP="00777AF1">
      <w:pPr>
        <w:rPr>
          <w:rFonts w:ascii="Arial" w:hAnsi="Arial" w:cs="Arial"/>
          <w:b/>
          <w:bCs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>ZAKLJUČAK:</w:t>
      </w:r>
    </w:p>
    <w:p w:rsidR="00777AF1" w:rsidRDefault="00DD4AFA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Uspoređujući podatke s</w:t>
      </w:r>
      <w:r w:rsidR="00777AF1">
        <w:rPr>
          <w:rFonts w:ascii="Arial" w:hAnsi="Arial" w:cs="Arial"/>
          <w:sz w:val="20"/>
          <w:szCs w:val="20"/>
        </w:rPr>
        <w:t xml:space="preserve"> višegodišnjim prosjekom nama najbliže meteorološke postaje Zadar, zaključili smo da </w:t>
      </w:r>
      <w:r>
        <w:rPr>
          <w:rFonts w:ascii="Arial" w:hAnsi="Arial" w:cs="Arial"/>
          <w:sz w:val="20"/>
          <w:szCs w:val="20"/>
        </w:rPr>
        <w:t>su sva ljeta</w:t>
      </w:r>
      <w:r w:rsidRPr="00DD4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osim ljeta 2014.godine</w:t>
      </w:r>
      <w:r w:rsidR="00777AF1">
        <w:rPr>
          <w:rFonts w:ascii="Arial" w:hAnsi="Arial" w:cs="Arial"/>
          <w:sz w:val="20"/>
          <w:szCs w:val="20"/>
        </w:rPr>
        <w:t>, s obzirom na srednje mjesečne temperature zraka, bila iznad prosjeka i prema službenim podacima DHMZ-a spadala u kategoriju ekstre</w:t>
      </w:r>
      <w:r w:rsidR="00E357E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no toplo.</w:t>
      </w:r>
    </w:p>
    <w:p w:rsidR="00777AF1" w:rsidRDefault="00777AF1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Analizirajući</w:t>
      </w:r>
      <w:r w:rsidR="00DD4AFA">
        <w:rPr>
          <w:rFonts w:ascii="Arial" w:hAnsi="Arial" w:cs="Arial"/>
          <w:sz w:val="20"/>
          <w:szCs w:val="20"/>
        </w:rPr>
        <w:t xml:space="preserve"> ljetne količine oborine u ljetnim mjesecima promatranoga</w:t>
      </w:r>
      <w:r>
        <w:rPr>
          <w:rFonts w:ascii="Arial" w:hAnsi="Arial" w:cs="Arial"/>
          <w:sz w:val="20"/>
          <w:szCs w:val="20"/>
        </w:rPr>
        <w:t xml:space="preserve"> razdoblj</w:t>
      </w:r>
      <w:r w:rsidR="00DD4AFA">
        <w:rPr>
          <w:rFonts w:ascii="Arial" w:hAnsi="Arial" w:cs="Arial"/>
          <w:sz w:val="20"/>
          <w:szCs w:val="20"/>
        </w:rPr>
        <w:t>a i uspoređujnući ih s</w:t>
      </w:r>
      <w:r>
        <w:rPr>
          <w:rFonts w:ascii="Arial" w:hAnsi="Arial" w:cs="Arial"/>
          <w:sz w:val="20"/>
          <w:szCs w:val="20"/>
        </w:rPr>
        <w:t xml:space="preserve"> višegodišnjem prosjekom, uočili smo veliko odstupanje od prosjeka u godini 2014.</w:t>
      </w:r>
      <w:r w:rsidR="00DD4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koja je bila vrlo kišna te</w:t>
      </w:r>
      <w:r w:rsidR="00DD4AFA">
        <w:rPr>
          <w:rFonts w:ascii="Arial" w:hAnsi="Arial" w:cs="Arial"/>
          <w:sz w:val="20"/>
          <w:szCs w:val="20"/>
        </w:rPr>
        <w:t xml:space="preserve"> u godini</w:t>
      </w:r>
      <w:r>
        <w:rPr>
          <w:rFonts w:ascii="Arial" w:hAnsi="Arial" w:cs="Arial"/>
          <w:sz w:val="20"/>
          <w:szCs w:val="20"/>
        </w:rPr>
        <w:t xml:space="preserve"> 2012</w:t>
      </w:r>
      <w:r w:rsidR="00E357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koja je bila ekstremno sušna.</w:t>
      </w:r>
    </w:p>
    <w:p w:rsidR="00777AF1" w:rsidRPr="009010BD" w:rsidRDefault="00DD4AFA" w:rsidP="00777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</w:t>
      </w:r>
      <w:r w:rsidR="00777AF1">
        <w:rPr>
          <w:rFonts w:ascii="Arial" w:hAnsi="Arial" w:cs="Arial"/>
          <w:sz w:val="20"/>
          <w:szCs w:val="20"/>
        </w:rPr>
        <w:t>onačno htjeli smo se malo poigrati brojkama pa smo izračunali naše višegodišnje prosjeke za Preko i dobili smo slični višegodi</w:t>
      </w:r>
      <w:r>
        <w:rPr>
          <w:rFonts w:ascii="Arial" w:hAnsi="Arial" w:cs="Arial"/>
          <w:sz w:val="20"/>
          <w:szCs w:val="20"/>
        </w:rPr>
        <w:t>šnji prosjek za količinu oborine</w:t>
      </w:r>
      <w:r w:rsidR="00777AF1">
        <w:rPr>
          <w:rFonts w:ascii="Arial" w:hAnsi="Arial" w:cs="Arial"/>
          <w:sz w:val="20"/>
          <w:szCs w:val="20"/>
        </w:rPr>
        <w:t xml:space="preserve">, ali ne i za srednje mjesečne temperature. Možda </w:t>
      </w:r>
      <w:r w:rsidR="00E357E0">
        <w:rPr>
          <w:rFonts w:ascii="Arial" w:hAnsi="Arial" w:cs="Arial"/>
          <w:sz w:val="20"/>
          <w:szCs w:val="20"/>
        </w:rPr>
        <w:t>ipak dolazi do postupnog rasta t</w:t>
      </w:r>
      <w:r w:rsidR="00777AF1">
        <w:rPr>
          <w:rFonts w:ascii="Arial" w:hAnsi="Arial" w:cs="Arial"/>
          <w:sz w:val="20"/>
          <w:szCs w:val="20"/>
        </w:rPr>
        <w:t>emperature zraka?!</w:t>
      </w:r>
    </w:p>
    <w:p w:rsidR="00777AF1" w:rsidRPr="009010BD" w:rsidRDefault="00777AF1" w:rsidP="00777AF1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b/>
          <w:bCs/>
          <w:sz w:val="20"/>
          <w:szCs w:val="20"/>
        </w:rPr>
        <w:t>IZVORI</w:t>
      </w:r>
      <w:r w:rsidRPr="009010BD">
        <w:rPr>
          <w:rFonts w:ascii="Arial" w:hAnsi="Arial" w:cs="Arial"/>
          <w:sz w:val="20"/>
          <w:szCs w:val="20"/>
        </w:rPr>
        <w:t xml:space="preserve"> :</w:t>
      </w:r>
    </w:p>
    <w:p w:rsidR="00777AF1" w:rsidRDefault="002938C2" w:rsidP="00777AF1">
      <w:pPr>
        <w:rPr>
          <w:rFonts w:ascii="Arial" w:hAnsi="Arial" w:cs="Arial"/>
          <w:sz w:val="20"/>
          <w:szCs w:val="20"/>
        </w:rPr>
      </w:pPr>
      <w:hyperlink r:id="rId10" w:history="1">
        <w:r w:rsidR="00777AF1" w:rsidRPr="009010BD">
          <w:rPr>
            <w:rStyle w:val="Hyperlink"/>
            <w:rFonts w:ascii="Arial" w:hAnsi="Arial" w:cs="Arial"/>
            <w:sz w:val="20"/>
            <w:szCs w:val="20"/>
          </w:rPr>
          <w:t>www.meteo.hr</w:t>
        </w:r>
      </w:hyperlink>
    </w:p>
    <w:p w:rsidR="00777AF1" w:rsidRPr="00777AF1" w:rsidRDefault="00777AF1" w:rsidP="00777AF1">
      <w:pPr>
        <w:rPr>
          <w:rFonts w:ascii="Arial" w:hAnsi="Arial" w:cs="Arial"/>
          <w:sz w:val="20"/>
          <w:szCs w:val="20"/>
        </w:rPr>
      </w:pPr>
      <w:r w:rsidRPr="009010BD">
        <w:rPr>
          <w:rFonts w:ascii="Arial" w:hAnsi="Arial" w:cs="Arial"/>
          <w:sz w:val="20"/>
          <w:szCs w:val="20"/>
        </w:rPr>
        <w:t>GLOBE protokoli</w:t>
      </w:r>
    </w:p>
    <w:p w:rsidR="00251A5D" w:rsidRDefault="00251A5D"/>
    <w:sectPr w:rsidR="00251A5D" w:rsidSect="00B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D" w:rsidRDefault="00D569ED" w:rsidP="00777AF1">
      <w:pPr>
        <w:spacing w:after="0" w:line="240" w:lineRule="auto"/>
      </w:pPr>
      <w:r>
        <w:separator/>
      </w:r>
    </w:p>
  </w:endnote>
  <w:endnote w:type="continuationSeparator" w:id="0">
    <w:p w:rsidR="00D569ED" w:rsidRDefault="00D569ED" w:rsidP="007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D" w:rsidRDefault="00D569ED" w:rsidP="00777AF1">
      <w:pPr>
        <w:spacing w:after="0" w:line="240" w:lineRule="auto"/>
      </w:pPr>
      <w:r>
        <w:separator/>
      </w:r>
    </w:p>
  </w:footnote>
  <w:footnote w:type="continuationSeparator" w:id="0">
    <w:p w:rsidR="00D569ED" w:rsidRDefault="00D569ED" w:rsidP="0077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7AF1"/>
    <w:rsid w:val="00184225"/>
    <w:rsid w:val="00251A5D"/>
    <w:rsid w:val="002938C2"/>
    <w:rsid w:val="003052D4"/>
    <w:rsid w:val="00340546"/>
    <w:rsid w:val="004F16C6"/>
    <w:rsid w:val="00622979"/>
    <w:rsid w:val="00690C60"/>
    <w:rsid w:val="006C5557"/>
    <w:rsid w:val="00777AF1"/>
    <w:rsid w:val="00846270"/>
    <w:rsid w:val="00934571"/>
    <w:rsid w:val="00935C60"/>
    <w:rsid w:val="00A05AD2"/>
    <w:rsid w:val="00AE529D"/>
    <w:rsid w:val="00B1787B"/>
    <w:rsid w:val="00B63D73"/>
    <w:rsid w:val="00CD5506"/>
    <w:rsid w:val="00D569ED"/>
    <w:rsid w:val="00DD4AFA"/>
    <w:rsid w:val="00E357E0"/>
    <w:rsid w:val="00EC236D"/>
    <w:rsid w:val="00F4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7AF1"/>
    <w:rPr>
      <w:color w:val="0000FF"/>
      <w:u w:val="single"/>
    </w:rPr>
  </w:style>
  <w:style w:type="table" w:styleId="TableGrid">
    <w:name w:val="Table Grid"/>
    <w:basedOn w:val="TableNormal"/>
    <w:uiPriority w:val="59"/>
    <w:rsid w:val="0077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A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7AF1"/>
    <w:rPr>
      <w:color w:val="0000FF"/>
      <w:u w:val="single"/>
    </w:rPr>
  </w:style>
  <w:style w:type="table" w:styleId="TableGrid">
    <w:name w:val="Table Grid"/>
    <w:basedOn w:val="TableNormal"/>
    <w:uiPriority w:val="59"/>
    <w:rsid w:val="0077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A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eteo.hr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SREDNJE</a:t>
            </a:r>
            <a:r>
              <a:rPr lang="hr-HR" sz="1000" baseline="0"/>
              <a:t> MJESEČNE TEMPERATURE ZRAKA ZA LIPANJ U PREKU I VIŠEGODIŠNJI PROSJEK ZA ZADAR</a:t>
            </a:r>
            <a:endParaRPr lang="hr-HR" sz="1000"/>
          </a:p>
        </c:rich>
      </c:tx>
    </c:title>
    <c:plotArea>
      <c:layout>
        <c:manualLayout>
          <c:layoutTarget val="inner"/>
          <c:xMode val="edge"/>
          <c:yMode val="edge"/>
          <c:x val="0.11041796401108911"/>
          <c:y val="0.20607648002333048"/>
          <c:w val="0.5734940425944125"/>
          <c:h val="0.67794364246135941"/>
        </c:manualLayout>
      </c:layout>
      <c:lineChart>
        <c:grouping val="standard"/>
        <c:ser>
          <c:idx val="0"/>
          <c:order val="0"/>
          <c:tx>
            <c:strRef>
              <c:f>TEMPERATURE!$E$23</c:f>
              <c:strCache>
                <c:ptCount val="1"/>
                <c:pt idx="0">
                  <c:v>SREDNJA MJESEČNA TEMPERATURA ZRAKA - PREKO</c:v>
                </c:pt>
              </c:strCache>
            </c:strRef>
          </c:tx>
          <c:marker>
            <c:symbol val="none"/>
          </c:marker>
          <c:cat>
            <c:numRef>
              <c:f>TEMPERATURE!$F$22:$O$22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TEMPERATURE!$F$23:$O$23</c:f>
              <c:numCache>
                <c:formatCode>General</c:formatCode>
                <c:ptCount val="10"/>
                <c:pt idx="0">
                  <c:v>22</c:v>
                </c:pt>
                <c:pt idx="1">
                  <c:v>24.4</c:v>
                </c:pt>
                <c:pt idx="2">
                  <c:v>23.6</c:v>
                </c:pt>
                <c:pt idx="3">
                  <c:v>21.6</c:v>
                </c:pt>
                <c:pt idx="4">
                  <c:v>22.7</c:v>
                </c:pt>
                <c:pt idx="5">
                  <c:v>23.8</c:v>
                </c:pt>
                <c:pt idx="6">
                  <c:v>24.5</c:v>
                </c:pt>
                <c:pt idx="7">
                  <c:v>21.9</c:v>
                </c:pt>
                <c:pt idx="8">
                  <c:v>22.1</c:v>
                </c:pt>
                <c:pt idx="9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TEMPERATURE!$E$24</c:f>
              <c:strCache>
                <c:ptCount val="1"/>
                <c:pt idx="0">
                  <c:v>VIŠEGOD. PROSJEK ZADAR</c:v>
                </c:pt>
              </c:strCache>
            </c:strRef>
          </c:tx>
          <c:marker>
            <c:symbol val="none"/>
          </c:marker>
          <c:cat>
            <c:numRef>
              <c:f>TEMPERATURE!$F$22:$O$22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TEMPERATURE!$F$24:$O$24</c:f>
              <c:numCache>
                <c:formatCode>General</c:formatCode>
                <c:ptCount val="10"/>
                <c:pt idx="0">
                  <c:v>21.3</c:v>
                </c:pt>
                <c:pt idx="1">
                  <c:v>21.3</c:v>
                </c:pt>
                <c:pt idx="2">
                  <c:v>21.3</c:v>
                </c:pt>
                <c:pt idx="3">
                  <c:v>21.3</c:v>
                </c:pt>
                <c:pt idx="4">
                  <c:v>21.3</c:v>
                </c:pt>
                <c:pt idx="5">
                  <c:v>21.3</c:v>
                </c:pt>
                <c:pt idx="6">
                  <c:v>21.3</c:v>
                </c:pt>
                <c:pt idx="7">
                  <c:v>21.3</c:v>
                </c:pt>
                <c:pt idx="8">
                  <c:v>21.3</c:v>
                </c:pt>
                <c:pt idx="9">
                  <c:v>21.3</c:v>
                </c:pt>
              </c:numCache>
            </c:numRef>
          </c:val>
        </c:ser>
        <c:marker val="1"/>
        <c:axId val="46947328"/>
        <c:axId val="73405568"/>
      </c:lineChart>
      <c:catAx>
        <c:axId val="46947328"/>
        <c:scaling>
          <c:orientation val="minMax"/>
        </c:scaling>
        <c:axPos val="b"/>
        <c:numFmt formatCode="@" sourceLinked="1"/>
        <c:majorTickMark val="none"/>
        <c:tickLblPos val="nextTo"/>
        <c:crossAx val="73405568"/>
        <c:crosses val="autoZero"/>
        <c:auto val="1"/>
        <c:lblAlgn val="ctr"/>
        <c:lblOffset val="100"/>
      </c:catAx>
      <c:valAx>
        <c:axId val="73405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TEMPERATURA</a:t>
                </a:r>
              </a:p>
            </c:rich>
          </c:tx>
        </c:title>
        <c:numFmt formatCode="General" sourceLinked="1"/>
        <c:majorTickMark val="none"/>
        <c:tickLblPos val="nextTo"/>
        <c:crossAx val="469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2851759083718"/>
          <c:y val="0.66838108778069405"/>
          <c:w val="0.30671482409162831"/>
          <c:h val="0.23458005249343838"/>
        </c:manualLayout>
      </c:layout>
      <c:txPr>
        <a:bodyPr/>
        <a:lstStyle/>
        <a:p>
          <a:pPr>
            <a:defRPr sz="800"/>
          </a:pPr>
          <a:endParaRPr lang="sr-Latn-C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SREDNJE</a:t>
            </a:r>
            <a:r>
              <a:rPr lang="hr-HR" sz="1000" baseline="0"/>
              <a:t> MJESEČNE TEMPERATURE ZRAKA ZA SRPANJ U PREKU I VIŠEGODIŠNJI PROSJEK ZA ZADAR</a:t>
            </a:r>
            <a:endParaRPr lang="hr-HR" sz="1000"/>
          </a:p>
        </c:rich>
      </c:tx>
    </c:title>
    <c:plotArea>
      <c:layout>
        <c:manualLayout>
          <c:layoutTarget val="inner"/>
          <c:xMode val="edge"/>
          <c:yMode val="edge"/>
          <c:x val="0.13089129483814524"/>
          <c:y val="0.20607648002333048"/>
          <c:w val="0.6031123296551909"/>
          <c:h val="0.60262667803467274"/>
        </c:manualLayout>
      </c:layout>
      <c:lineChart>
        <c:grouping val="standard"/>
        <c:ser>
          <c:idx val="0"/>
          <c:order val="0"/>
          <c:tx>
            <c:strRef>
              <c:f>TEMPERATURE!$F$20</c:f>
              <c:strCache>
                <c:ptCount val="1"/>
                <c:pt idx="0">
                  <c:v>SREDNJA MJESEČNA TEMPERATURA ZRAKA - PREKO</c:v>
                </c:pt>
              </c:strCache>
            </c:strRef>
          </c:tx>
          <c:marker>
            <c:symbol val="none"/>
          </c:marker>
          <c:cat>
            <c:numRef>
              <c:f>TEMPERATURE!$G$19:$P$19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TEMPERATURE!$G$20:$P$20</c:f>
              <c:numCache>
                <c:formatCode>General</c:formatCode>
                <c:ptCount val="10"/>
                <c:pt idx="0">
                  <c:v>25.6</c:v>
                </c:pt>
                <c:pt idx="1">
                  <c:v>26.5</c:v>
                </c:pt>
                <c:pt idx="2">
                  <c:v>26.1</c:v>
                </c:pt>
                <c:pt idx="3">
                  <c:v>25.5</c:v>
                </c:pt>
                <c:pt idx="4">
                  <c:v>26.7</c:v>
                </c:pt>
                <c:pt idx="5">
                  <c:v>24.9</c:v>
                </c:pt>
                <c:pt idx="6">
                  <c:v>27.8</c:v>
                </c:pt>
                <c:pt idx="7">
                  <c:v>26.3</c:v>
                </c:pt>
                <c:pt idx="8">
                  <c:v>23.7</c:v>
                </c:pt>
                <c:pt idx="9">
                  <c:v>27.9</c:v>
                </c:pt>
              </c:numCache>
            </c:numRef>
          </c:val>
        </c:ser>
        <c:ser>
          <c:idx val="1"/>
          <c:order val="1"/>
          <c:tx>
            <c:strRef>
              <c:f>TEMPERATURE!$F$21</c:f>
              <c:strCache>
                <c:ptCount val="1"/>
                <c:pt idx="0">
                  <c:v>VIŠEGOD. PROSJEK ZADAR</c:v>
                </c:pt>
              </c:strCache>
            </c:strRef>
          </c:tx>
          <c:marker>
            <c:symbol val="none"/>
          </c:marker>
          <c:cat>
            <c:numRef>
              <c:f>TEMPERATURE!$G$19:$P$19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TEMPERATURE!$G$21:$P$21</c:f>
              <c:numCache>
                <c:formatCode>General</c:formatCode>
                <c:ptCount val="10"/>
                <c:pt idx="0">
                  <c:v>23.9</c:v>
                </c:pt>
                <c:pt idx="1">
                  <c:v>23.9</c:v>
                </c:pt>
                <c:pt idx="2">
                  <c:v>23.9</c:v>
                </c:pt>
                <c:pt idx="3">
                  <c:v>23.9</c:v>
                </c:pt>
                <c:pt idx="4">
                  <c:v>23.9</c:v>
                </c:pt>
                <c:pt idx="5">
                  <c:v>23.9</c:v>
                </c:pt>
                <c:pt idx="6">
                  <c:v>23.9</c:v>
                </c:pt>
                <c:pt idx="7">
                  <c:v>23.9</c:v>
                </c:pt>
                <c:pt idx="8">
                  <c:v>23.9</c:v>
                </c:pt>
                <c:pt idx="9">
                  <c:v>23.9</c:v>
                </c:pt>
              </c:numCache>
            </c:numRef>
          </c:val>
        </c:ser>
        <c:marker val="1"/>
        <c:axId val="73492352"/>
        <c:axId val="73493888"/>
      </c:lineChart>
      <c:catAx>
        <c:axId val="73492352"/>
        <c:scaling>
          <c:orientation val="minMax"/>
        </c:scaling>
        <c:axPos val="b"/>
        <c:numFmt formatCode="@" sourceLinked="1"/>
        <c:majorTickMark val="none"/>
        <c:tickLblPos val="nextTo"/>
        <c:crossAx val="73493888"/>
        <c:crosses val="autoZero"/>
        <c:auto val="1"/>
        <c:lblAlgn val="ctr"/>
        <c:lblOffset val="100"/>
      </c:catAx>
      <c:valAx>
        <c:axId val="73493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TEMPERATURA</a:t>
                </a:r>
              </a:p>
            </c:rich>
          </c:tx>
        </c:title>
        <c:numFmt formatCode="General" sourceLinked="1"/>
        <c:majorTickMark val="none"/>
        <c:tickLblPos val="nextTo"/>
        <c:crossAx val="734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79074656834297"/>
          <c:y val="0.73124964474982046"/>
          <c:w val="0.27792223227671164"/>
          <c:h val="0.25195178628149184"/>
        </c:manualLayout>
      </c:layout>
      <c:txPr>
        <a:bodyPr/>
        <a:lstStyle/>
        <a:p>
          <a:pPr>
            <a:defRPr sz="800"/>
          </a:pPr>
          <a:endParaRPr lang="sr-Latn-C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SREDNJE</a:t>
            </a:r>
            <a:r>
              <a:rPr lang="hr-HR" sz="1000" baseline="0"/>
              <a:t> MJESEČNE TEMPERATURE ZRAKA U KOLOVOZU U PREKU I VIŠEGODIŠNJI PROSJEK</a:t>
            </a:r>
            <a:endParaRPr lang="hr-HR" sz="1000"/>
          </a:p>
        </c:rich>
      </c:tx>
    </c:title>
    <c:plotArea>
      <c:layout>
        <c:manualLayout>
          <c:layoutTarget val="inner"/>
          <c:xMode val="edge"/>
          <c:yMode val="edge"/>
          <c:x val="0.11678033740206265"/>
          <c:y val="0.20607648002333048"/>
          <c:w val="0.5513967352593937"/>
          <c:h val="0.67794364246135941"/>
        </c:manualLayout>
      </c:layout>
      <c:lineChart>
        <c:grouping val="standard"/>
        <c:ser>
          <c:idx val="0"/>
          <c:order val="0"/>
          <c:tx>
            <c:strRef>
              <c:f>TEMPERATURE!$F$3</c:f>
              <c:strCache>
                <c:ptCount val="1"/>
                <c:pt idx="0">
                  <c:v>SREDNJA MJESEČNA TEMPERATURA ZRAKA - PREKO</c:v>
                </c:pt>
              </c:strCache>
            </c:strRef>
          </c:tx>
          <c:marker>
            <c:symbol val="none"/>
          </c:marker>
          <c:cat>
            <c:numRef>
              <c:f>TEMPERATURE!$G$2:$P$2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TEMPERATURE!$G$3:$P$3</c:f>
              <c:numCache>
                <c:formatCode>General</c:formatCode>
                <c:ptCount val="10"/>
                <c:pt idx="0">
                  <c:v>22.5</c:v>
                </c:pt>
                <c:pt idx="1">
                  <c:v>24.6</c:v>
                </c:pt>
                <c:pt idx="2">
                  <c:v>25.3</c:v>
                </c:pt>
                <c:pt idx="3">
                  <c:v>26.4</c:v>
                </c:pt>
                <c:pt idx="4">
                  <c:v>24</c:v>
                </c:pt>
                <c:pt idx="5">
                  <c:v>26</c:v>
                </c:pt>
                <c:pt idx="6">
                  <c:v>26.2</c:v>
                </c:pt>
                <c:pt idx="7">
                  <c:v>25.6</c:v>
                </c:pt>
                <c:pt idx="8">
                  <c:v>23.9</c:v>
                </c:pt>
                <c:pt idx="9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TEMPERATURE!$F$4</c:f>
              <c:strCache>
                <c:ptCount val="1"/>
                <c:pt idx="0">
                  <c:v>VIŠEGOD. PROSJEK ZADAR</c:v>
                </c:pt>
              </c:strCache>
            </c:strRef>
          </c:tx>
          <c:marker>
            <c:symbol val="none"/>
          </c:marker>
          <c:cat>
            <c:numRef>
              <c:f>TEMPERATURE!$G$2:$P$2</c:f>
              <c:numCache>
                <c:formatCode>@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TEMPERATURE!$G$4:$P$4</c:f>
              <c:numCache>
                <c:formatCode>General</c:formatCode>
                <c:ptCount val="10"/>
                <c:pt idx="0">
                  <c:v>23.7</c:v>
                </c:pt>
                <c:pt idx="1">
                  <c:v>23.7</c:v>
                </c:pt>
                <c:pt idx="2">
                  <c:v>23.7</c:v>
                </c:pt>
                <c:pt idx="3">
                  <c:v>23.7</c:v>
                </c:pt>
                <c:pt idx="4">
                  <c:v>23.7</c:v>
                </c:pt>
                <c:pt idx="5">
                  <c:v>23.7</c:v>
                </c:pt>
                <c:pt idx="6">
                  <c:v>23.7</c:v>
                </c:pt>
                <c:pt idx="7">
                  <c:v>23.7</c:v>
                </c:pt>
                <c:pt idx="8">
                  <c:v>23.7</c:v>
                </c:pt>
                <c:pt idx="9">
                  <c:v>23.7</c:v>
                </c:pt>
              </c:numCache>
            </c:numRef>
          </c:val>
        </c:ser>
        <c:marker val="1"/>
        <c:axId val="78120064"/>
        <c:axId val="78121600"/>
      </c:lineChart>
      <c:catAx>
        <c:axId val="78120064"/>
        <c:scaling>
          <c:orientation val="minMax"/>
        </c:scaling>
        <c:axPos val="b"/>
        <c:numFmt formatCode="@" sourceLinked="1"/>
        <c:majorTickMark val="none"/>
        <c:tickLblPos val="nextTo"/>
        <c:crossAx val="78121600"/>
        <c:crosses val="autoZero"/>
        <c:auto val="1"/>
        <c:lblAlgn val="ctr"/>
        <c:lblOffset val="100"/>
      </c:catAx>
      <c:valAx>
        <c:axId val="781216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TEMPERATURA</a:t>
                </a:r>
              </a:p>
            </c:rich>
          </c:tx>
        </c:title>
        <c:numFmt formatCode="General" sourceLinked="1"/>
        <c:majorTickMark val="none"/>
        <c:tickLblPos val="nextTo"/>
        <c:crossAx val="7812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61201689937511"/>
          <c:y val="0.69615886555847206"/>
          <c:w val="0.32438798310062572"/>
          <c:h val="0.23458005249343838"/>
        </c:manualLayout>
      </c:layout>
      <c:txPr>
        <a:bodyPr/>
        <a:lstStyle/>
        <a:p>
          <a:pPr>
            <a:defRPr sz="800"/>
          </a:pPr>
          <a:endParaRPr lang="sr-Latn-C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 sz="800"/>
              <a:t>LJETNA</a:t>
            </a:r>
            <a:r>
              <a:rPr lang="hr-HR" sz="800" baseline="0"/>
              <a:t> </a:t>
            </a:r>
            <a:r>
              <a:rPr lang="en-US" sz="800"/>
              <a:t>KOLIČINA OBORINE</a:t>
            </a:r>
            <a:r>
              <a:rPr lang="hr-HR" sz="800"/>
              <a:t> U PREKU OD 2006.-2015.G. I VIŠEGODIŠNJI PROSJEK ZA ZADAR</a:t>
            </a:r>
            <a:endParaRPr lang="en-US" sz="800"/>
          </a:p>
        </c:rich>
      </c:tx>
    </c:title>
    <c:plotArea>
      <c:layout>
        <c:manualLayout>
          <c:layoutTarget val="inner"/>
          <c:xMode val="edge"/>
          <c:yMode val="edge"/>
          <c:x val="7.8099122297803511E-2"/>
          <c:y val="0.13827573636628754"/>
          <c:w val="0.89417560990131428"/>
          <c:h val="0.44352471566054252"/>
        </c:manualLayout>
      </c:layout>
      <c:barChart>
        <c:barDir val="col"/>
        <c:grouping val="clustered"/>
        <c:ser>
          <c:idx val="0"/>
          <c:order val="0"/>
          <c:tx>
            <c:strRef>
              <c:f>oborine!$B$19</c:f>
              <c:strCache>
                <c:ptCount val="1"/>
                <c:pt idx="0">
                  <c:v>KOLIČINA OBORINE(mm)</c:v>
                </c:pt>
              </c:strCache>
            </c:strRef>
          </c:tx>
          <c:dPt>
            <c:idx val="10"/>
            <c:spPr>
              <a:solidFill>
                <a:schemeClr val="accent2">
                  <a:lumMod val="75000"/>
                </a:schemeClr>
              </a:solidFill>
              <a:ln w="15875" cap="rnd" cmpd="sng">
                <a:miter lim="800000"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</c:dPt>
          <c:dLbls>
            <c:dLblPos val="inEnd"/>
            <c:showVal val="1"/>
          </c:dLbls>
          <c:cat>
            <c:strRef>
              <c:f>oborine!$C$18:$M$18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višegodišnji prosjek Zadar</c:v>
                </c:pt>
              </c:strCache>
            </c:strRef>
          </c:cat>
          <c:val>
            <c:numRef>
              <c:f>oborine!$C$19:$M$19</c:f>
              <c:numCache>
                <c:formatCode>General</c:formatCode>
                <c:ptCount val="11"/>
                <c:pt idx="0">
                  <c:v>254</c:v>
                </c:pt>
                <c:pt idx="1">
                  <c:v>39</c:v>
                </c:pt>
                <c:pt idx="2">
                  <c:v>114</c:v>
                </c:pt>
                <c:pt idx="3">
                  <c:v>132.5</c:v>
                </c:pt>
                <c:pt idx="4">
                  <c:v>86.9</c:v>
                </c:pt>
                <c:pt idx="5">
                  <c:v>89</c:v>
                </c:pt>
                <c:pt idx="6">
                  <c:v>24</c:v>
                </c:pt>
                <c:pt idx="7">
                  <c:v>72.5</c:v>
                </c:pt>
                <c:pt idx="8">
                  <c:v>496.6</c:v>
                </c:pt>
                <c:pt idx="9">
                  <c:v>115</c:v>
                </c:pt>
                <c:pt idx="10">
                  <c:v>134</c:v>
                </c:pt>
              </c:numCache>
            </c:numRef>
          </c:val>
        </c:ser>
        <c:gapWidth val="75"/>
        <c:overlap val="40"/>
        <c:axId val="81424768"/>
        <c:axId val="81426688"/>
      </c:barChart>
      <c:catAx>
        <c:axId val="81424768"/>
        <c:scaling>
          <c:orientation val="minMax"/>
        </c:scaling>
        <c:axPos val="b"/>
        <c:majorTickMark val="none"/>
        <c:tickLblPos val="nextTo"/>
        <c:crossAx val="81426688"/>
        <c:crosses val="autoZero"/>
        <c:auto val="1"/>
        <c:lblAlgn val="ctr"/>
        <c:lblOffset val="100"/>
      </c:catAx>
      <c:valAx>
        <c:axId val="8142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4247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User</cp:lastModifiedBy>
  <cp:revision>8</cp:revision>
  <dcterms:created xsi:type="dcterms:W3CDTF">2016-05-02T17:48:00Z</dcterms:created>
  <dcterms:modified xsi:type="dcterms:W3CDTF">2016-05-02T19:08:00Z</dcterms:modified>
</cp:coreProperties>
</file>