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6E43" w:rsidRPr="00F316DA" w:rsidRDefault="00DB39CA" w:rsidP="00EE0255">
      <w:pPr>
        <w:spacing w:line="240" w:lineRule="auto"/>
        <w:jc w:val="center"/>
        <w:rPr>
          <w:color w:val="auto"/>
        </w:rPr>
      </w:pPr>
      <w:r w:rsidRPr="00F316DA">
        <w:rPr>
          <w:rFonts w:ascii="Arial" w:eastAsia="Arial" w:hAnsi="Arial" w:cs="Arial"/>
          <w:b/>
          <w:color w:val="auto"/>
          <w:sz w:val="20"/>
          <w:szCs w:val="20"/>
        </w:rPr>
        <w:t xml:space="preserve">Korelacija širenja grada, strukture stanovništva i promjene u korištenju zemljišta na području </w:t>
      </w:r>
      <w:r w:rsidR="00EE0255" w:rsidRPr="00F316DA">
        <w:rPr>
          <w:rFonts w:ascii="Arial" w:eastAsia="Arial" w:hAnsi="Arial" w:cs="Arial"/>
          <w:b/>
          <w:color w:val="auto"/>
          <w:sz w:val="20"/>
          <w:szCs w:val="20"/>
        </w:rPr>
        <w:t xml:space="preserve">Grada </w:t>
      </w:r>
      <w:r w:rsidRPr="00F316DA">
        <w:rPr>
          <w:rFonts w:ascii="Arial" w:eastAsia="Arial" w:hAnsi="Arial" w:cs="Arial"/>
          <w:b/>
          <w:color w:val="auto"/>
          <w:sz w:val="20"/>
          <w:szCs w:val="20"/>
        </w:rPr>
        <w:t>Preloga</w:t>
      </w:r>
    </w:p>
    <w:p w:rsidR="00966E43" w:rsidRPr="00F316DA" w:rsidRDefault="00DB39CA" w:rsidP="00EE0255">
      <w:pPr>
        <w:spacing w:line="240" w:lineRule="auto"/>
        <w:jc w:val="center"/>
        <w:rPr>
          <w:color w:val="auto"/>
        </w:rPr>
      </w:pPr>
      <w:r w:rsidRPr="00F316DA">
        <w:rPr>
          <w:rFonts w:ascii="Arial" w:eastAsia="Arial" w:hAnsi="Arial" w:cs="Arial"/>
          <w:color w:val="auto"/>
          <w:sz w:val="20"/>
          <w:szCs w:val="20"/>
        </w:rPr>
        <w:t>Učenici: Josipa Golomboš, Lara Klarić, Božidar Mavrin</w:t>
      </w:r>
    </w:p>
    <w:p w:rsidR="00966E43" w:rsidRPr="00F316DA" w:rsidRDefault="00DB39CA" w:rsidP="00EE0255">
      <w:pPr>
        <w:spacing w:line="240" w:lineRule="auto"/>
        <w:jc w:val="center"/>
        <w:rPr>
          <w:color w:val="auto"/>
        </w:rPr>
      </w:pPr>
      <w:r w:rsidRPr="00F316DA">
        <w:rPr>
          <w:rFonts w:ascii="Arial" w:eastAsia="Arial" w:hAnsi="Arial" w:cs="Arial"/>
          <w:color w:val="auto"/>
          <w:sz w:val="20"/>
          <w:szCs w:val="20"/>
        </w:rPr>
        <w:t>Mentorica: Valentina PircMezga</w:t>
      </w:r>
    </w:p>
    <w:p w:rsidR="00966E43" w:rsidRPr="00F316DA" w:rsidRDefault="00DB39CA" w:rsidP="00EE0255">
      <w:pPr>
        <w:spacing w:line="240" w:lineRule="auto"/>
        <w:jc w:val="center"/>
        <w:rPr>
          <w:color w:val="auto"/>
        </w:rPr>
      </w:pPr>
      <w:r w:rsidRPr="00F316DA">
        <w:rPr>
          <w:rFonts w:ascii="Arial" w:eastAsia="Arial" w:hAnsi="Arial" w:cs="Arial"/>
          <w:color w:val="auto"/>
          <w:sz w:val="20"/>
          <w:szCs w:val="20"/>
        </w:rPr>
        <w:t>Srednja škola Prelog, Prelog</w:t>
      </w:r>
    </w:p>
    <w:p w:rsidR="00F3463E" w:rsidRPr="00F316DA" w:rsidRDefault="00F3463E" w:rsidP="00EE0255">
      <w:pPr>
        <w:spacing w:before="240" w:line="240" w:lineRule="auto"/>
        <w:jc w:val="both"/>
        <w:rPr>
          <w:color w:val="auto"/>
        </w:rPr>
      </w:pPr>
    </w:p>
    <w:p w:rsidR="00966E43" w:rsidRPr="00F316DA" w:rsidRDefault="00DB39CA" w:rsidP="00EE0255">
      <w:pPr>
        <w:numPr>
          <w:ilvl w:val="0"/>
          <w:numId w:val="1"/>
        </w:numPr>
        <w:spacing w:before="240" w:line="240" w:lineRule="auto"/>
        <w:ind w:hanging="360"/>
        <w:contextualSpacing/>
        <w:jc w:val="both"/>
        <w:rPr>
          <w:rFonts w:ascii="Arial" w:eastAsia="Arial" w:hAnsi="Arial" w:cs="Arial"/>
          <w:color w:val="auto"/>
          <w:sz w:val="20"/>
          <w:szCs w:val="20"/>
        </w:rPr>
      </w:pPr>
      <w:r w:rsidRPr="00F316DA">
        <w:rPr>
          <w:rFonts w:ascii="Arial" w:eastAsia="Arial" w:hAnsi="Arial" w:cs="Arial"/>
          <w:color w:val="auto"/>
          <w:sz w:val="20"/>
          <w:szCs w:val="20"/>
        </w:rPr>
        <w:t>ISTRAŽIVAČKA PITANJA / HIPOTEZE</w:t>
      </w:r>
    </w:p>
    <w:p w:rsidR="002A17C9" w:rsidRDefault="00524EF1" w:rsidP="00F316DA">
      <w:pPr>
        <w:spacing w:before="240" w:line="240" w:lineRule="auto"/>
        <w:jc w:val="both"/>
        <w:rPr>
          <w:rFonts w:ascii="Arial" w:eastAsia="Arial" w:hAnsi="Arial" w:cs="Arial"/>
          <w:sz w:val="20"/>
          <w:szCs w:val="20"/>
        </w:rPr>
      </w:pPr>
      <w:r w:rsidRPr="00F316DA">
        <w:rPr>
          <w:rFonts w:ascii="Arial" w:eastAsia="Arial" w:hAnsi="Arial" w:cs="Arial"/>
          <w:color w:val="auto"/>
          <w:sz w:val="20"/>
          <w:szCs w:val="20"/>
        </w:rPr>
        <w:tab/>
      </w:r>
      <w:r w:rsidR="002A17C9" w:rsidRPr="001C10E0">
        <w:rPr>
          <w:rFonts w:ascii="Arial" w:eastAsia="Arial" w:hAnsi="Arial" w:cs="Arial"/>
          <w:sz w:val="20"/>
          <w:szCs w:val="20"/>
        </w:rPr>
        <w:t xml:space="preserve">U želji da nadogradimo naš prošlogodišnji projekt, odlučili smo usmjeriti naše istraživanje isključivo na područje Grada Preloga.Kako bismo proširili naš prethodni projekt, u ovome ćemo projektu koristiti daljinska istraživanja i podatke dobivene popisima stanovništva 1991., 2001. i 2011. godine. Daljinsko istraživanje ili </w:t>
      </w:r>
      <w:r w:rsidR="002A17C9" w:rsidRPr="001C10E0">
        <w:rPr>
          <w:rFonts w:ascii="Arial" w:eastAsia="Arial" w:hAnsi="Arial" w:cs="Arial"/>
          <w:i/>
          <w:sz w:val="20"/>
          <w:szCs w:val="20"/>
        </w:rPr>
        <w:t>remotesensing</w:t>
      </w:r>
      <w:r w:rsidR="002A17C9">
        <w:rPr>
          <w:rFonts w:ascii="Arial" w:eastAsia="Arial" w:hAnsi="Arial" w:cs="Arial"/>
          <w:sz w:val="20"/>
          <w:szCs w:val="20"/>
        </w:rPr>
        <w:t>je</w:t>
      </w:r>
      <w:r w:rsidR="002A17C9" w:rsidRPr="001C10E0">
        <w:rPr>
          <w:rFonts w:ascii="Arial" w:eastAsia="Arial" w:hAnsi="Arial" w:cs="Arial"/>
          <w:sz w:val="20"/>
          <w:szCs w:val="20"/>
        </w:rPr>
        <w:t xml:space="preserve"> proces snimanja i interpretiranja snimaka iz zraka ili svemira. Takva istraživanja provode se pomoću različitih na daljinu postavljenih uređaja za prikupljanje informacija o nekom objektu ili području kao što su satelitske kamere i senzori koji sustavno snimaju i kartiraju Zemlju.  Sustav pomoću kojeg smo mi odlučili provesti istraživanje, zove se LANDSAT i najstariji je sustav za snimanje Zemlje iz svemira. Zbog prije spomenutih problema s visokim cijenama nekih programa za kartografsku analizu, odlučili smo koristiti FOSS  programe, odnosno besplatne i slobodne programe</w:t>
      </w:r>
      <w:r w:rsidR="002A17C9">
        <w:rPr>
          <w:rFonts w:ascii="Arial" w:eastAsia="Arial" w:hAnsi="Arial" w:cs="Arial"/>
          <w:sz w:val="20"/>
          <w:szCs w:val="20"/>
        </w:rPr>
        <w:t xml:space="preserve"> kao što su QGIS i SAGA GIS</w:t>
      </w:r>
      <w:r w:rsidR="002A17C9" w:rsidRPr="001C10E0">
        <w:rPr>
          <w:rFonts w:ascii="Arial" w:eastAsia="Arial" w:hAnsi="Arial" w:cs="Arial"/>
          <w:sz w:val="20"/>
          <w:szCs w:val="20"/>
        </w:rPr>
        <w:t>. Cilj našeg projekta bio je: (1.) odrediti koliko se promijenio način korištenja pokrova i sam pokrov zemljišta u Gradu Prelogu u raz</w:t>
      </w:r>
      <w:r w:rsidR="002A17C9">
        <w:rPr>
          <w:rFonts w:ascii="Arial" w:eastAsia="Arial" w:hAnsi="Arial" w:cs="Arial"/>
          <w:sz w:val="20"/>
          <w:szCs w:val="20"/>
        </w:rPr>
        <w:t xml:space="preserve">doblju od 1991. do 2011. godine, (2.) izdvojit </w:t>
      </w:r>
      <w:r w:rsidR="002A17C9" w:rsidRPr="001C10E0">
        <w:rPr>
          <w:rFonts w:ascii="Arial" w:eastAsia="Arial" w:hAnsi="Arial" w:cs="Arial"/>
          <w:sz w:val="20"/>
          <w:szCs w:val="20"/>
        </w:rPr>
        <w:t>deset najvećih tvornica u industrijskim zonama u Prelogu</w:t>
      </w:r>
      <w:r w:rsidR="002A17C9">
        <w:rPr>
          <w:rFonts w:ascii="Arial" w:eastAsia="Arial" w:hAnsi="Arial" w:cs="Arial"/>
          <w:sz w:val="20"/>
          <w:szCs w:val="20"/>
        </w:rPr>
        <w:t>, (3.) uočiti promjene u omjeru</w:t>
      </w:r>
      <w:r w:rsidR="002A17C9" w:rsidRPr="001C10E0">
        <w:rPr>
          <w:rFonts w:ascii="Arial" w:eastAsia="Arial" w:hAnsi="Arial" w:cs="Arial"/>
          <w:sz w:val="20"/>
          <w:szCs w:val="20"/>
        </w:rPr>
        <w:t xml:space="preserve"> poljoprivrednog i nepoljoprivrednog stanovništva te kako se povećavao broj ljudi zaposlenih u industriji. (4.) Pretpostavili smo da je udio zaposlenih u industriji u sve tri godine veći od udjela onih k</w:t>
      </w:r>
      <w:r w:rsidR="002A17C9">
        <w:rPr>
          <w:rFonts w:ascii="Arial" w:eastAsia="Arial" w:hAnsi="Arial" w:cs="Arial"/>
          <w:sz w:val="20"/>
          <w:szCs w:val="20"/>
        </w:rPr>
        <w:t xml:space="preserve">oji rade u poljoprivredi. (5.) Promatrali smo promjene u </w:t>
      </w:r>
      <w:r w:rsidR="002A17C9" w:rsidRPr="001C10E0">
        <w:rPr>
          <w:rFonts w:ascii="Arial" w:eastAsia="Arial" w:hAnsi="Arial" w:cs="Arial"/>
          <w:sz w:val="20"/>
          <w:szCs w:val="20"/>
        </w:rPr>
        <w:t xml:space="preserve"> broj</w:t>
      </w:r>
      <w:r w:rsidR="002A17C9">
        <w:rPr>
          <w:rFonts w:ascii="Arial" w:eastAsia="Arial" w:hAnsi="Arial" w:cs="Arial"/>
          <w:sz w:val="20"/>
          <w:szCs w:val="20"/>
        </w:rPr>
        <w:t>u</w:t>
      </w:r>
      <w:r w:rsidR="002A17C9" w:rsidRPr="001C10E0">
        <w:rPr>
          <w:rFonts w:ascii="Arial" w:eastAsia="Arial" w:hAnsi="Arial" w:cs="Arial"/>
          <w:sz w:val="20"/>
          <w:szCs w:val="20"/>
        </w:rPr>
        <w:t xml:space="preserve"> stanovnika s prostornim širenjem Grada</w:t>
      </w:r>
      <w:r w:rsidR="002A17C9">
        <w:rPr>
          <w:rFonts w:ascii="Arial" w:eastAsia="Arial" w:hAnsi="Arial" w:cs="Arial"/>
          <w:sz w:val="20"/>
          <w:szCs w:val="20"/>
        </w:rPr>
        <w:t>,</w:t>
      </w:r>
      <w:r w:rsidR="002A17C9" w:rsidRPr="001C10E0">
        <w:rPr>
          <w:rFonts w:ascii="Arial" w:eastAsia="Arial" w:hAnsi="Arial" w:cs="Arial"/>
          <w:sz w:val="20"/>
          <w:szCs w:val="20"/>
        </w:rPr>
        <w:t xml:space="preserve"> </w:t>
      </w:r>
      <w:r w:rsidR="002A17C9">
        <w:rPr>
          <w:rFonts w:ascii="Arial" w:eastAsia="Arial" w:hAnsi="Arial" w:cs="Arial"/>
          <w:sz w:val="20"/>
          <w:szCs w:val="20"/>
        </w:rPr>
        <w:t>(6.)</w:t>
      </w:r>
      <w:r w:rsidR="002A17C9" w:rsidRPr="001C10E0">
        <w:rPr>
          <w:rFonts w:ascii="Arial" w:eastAsia="Arial" w:hAnsi="Arial" w:cs="Arial"/>
          <w:sz w:val="20"/>
          <w:szCs w:val="20"/>
        </w:rPr>
        <w:t xml:space="preserve"> koji su glavni izvori sreds</w:t>
      </w:r>
      <w:r w:rsidR="002A17C9">
        <w:rPr>
          <w:rFonts w:ascii="Arial" w:eastAsia="Arial" w:hAnsi="Arial" w:cs="Arial"/>
          <w:sz w:val="20"/>
          <w:szCs w:val="20"/>
        </w:rPr>
        <w:t xml:space="preserve">tava za život stanovništva, (7.) </w:t>
      </w:r>
      <w:r w:rsidR="002A17C9" w:rsidRPr="001C10E0">
        <w:rPr>
          <w:rFonts w:ascii="Arial" w:eastAsia="Arial" w:hAnsi="Arial" w:cs="Arial"/>
          <w:sz w:val="20"/>
          <w:szCs w:val="20"/>
        </w:rPr>
        <w:t xml:space="preserve"> kakav pokrov prevladava u Gradu Prelogu te kako su promjene u zemljištu utjecale na gospod</w:t>
      </w:r>
      <w:r w:rsidR="002A17C9">
        <w:rPr>
          <w:rFonts w:ascii="Arial" w:eastAsia="Arial" w:hAnsi="Arial" w:cs="Arial"/>
          <w:sz w:val="20"/>
          <w:szCs w:val="20"/>
        </w:rPr>
        <w:t xml:space="preserve">arski sastav stanovništva. </w:t>
      </w:r>
      <w:r w:rsidR="002A17C9" w:rsidRPr="001C10E0">
        <w:rPr>
          <w:rFonts w:ascii="Arial" w:eastAsia="Arial" w:hAnsi="Arial" w:cs="Arial"/>
          <w:sz w:val="20"/>
          <w:szCs w:val="20"/>
        </w:rPr>
        <w:t>Pretpostavljamo da će u Gradu Prelogu u sve tri godine prevladavati poljoprivredno zemljište. Na kraju provedenog istraživanja potvrdit ćemo ili odbaciti naše hipoteze.</w:t>
      </w:r>
    </w:p>
    <w:p w:rsidR="002A17C9" w:rsidRPr="002A17C9" w:rsidRDefault="002A17C9" w:rsidP="00F316DA">
      <w:pPr>
        <w:spacing w:before="240" w:line="240" w:lineRule="auto"/>
        <w:jc w:val="both"/>
        <w:rPr>
          <w:rFonts w:ascii="Arial" w:eastAsia="Arial" w:hAnsi="Arial" w:cs="Arial"/>
          <w:sz w:val="20"/>
          <w:szCs w:val="20"/>
        </w:rPr>
      </w:pPr>
    </w:p>
    <w:p w:rsidR="00966E43" w:rsidRPr="00F316DA" w:rsidRDefault="00DB39CA" w:rsidP="00EE0255">
      <w:pPr>
        <w:numPr>
          <w:ilvl w:val="0"/>
          <w:numId w:val="1"/>
        </w:numPr>
        <w:spacing w:before="240" w:line="240" w:lineRule="auto"/>
        <w:ind w:hanging="360"/>
        <w:contextualSpacing/>
        <w:jc w:val="both"/>
        <w:rPr>
          <w:rFonts w:ascii="Arial" w:eastAsia="Arial" w:hAnsi="Arial" w:cs="Arial"/>
          <w:color w:val="auto"/>
          <w:sz w:val="20"/>
          <w:szCs w:val="20"/>
        </w:rPr>
      </w:pPr>
      <w:r w:rsidRPr="00F316DA">
        <w:rPr>
          <w:rFonts w:ascii="Arial" w:eastAsia="Arial" w:hAnsi="Arial" w:cs="Arial"/>
          <w:color w:val="auto"/>
          <w:sz w:val="20"/>
          <w:szCs w:val="20"/>
        </w:rPr>
        <w:t>METODE ISTRAŽIVANJA</w:t>
      </w:r>
    </w:p>
    <w:p w:rsidR="00966E43" w:rsidRPr="00F316DA" w:rsidRDefault="00C115B8" w:rsidP="00EE0255">
      <w:pPr>
        <w:spacing w:before="240" w:line="240" w:lineRule="auto"/>
        <w:jc w:val="both"/>
        <w:rPr>
          <w:color w:val="auto"/>
        </w:rPr>
      </w:pPr>
      <w:r w:rsidRPr="00F316DA">
        <w:rPr>
          <w:rFonts w:ascii="Arial" w:eastAsia="Arial" w:hAnsi="Arial" w:cs="Arial"/>
          <w:color w:val="auto"/>
          <w:sz w:val="20"/>
          <w:szCs w:val="20"/>
        </w:rPr>
        <w:tab/>
      </w:r>
      <w:r w:rsidR="00DB39CA" w:rsidRPr="00F316DA">
        <w:rPr>
          <w:rFonts w:ascii="Arial" w:eastAsia="Arial" w:hAnsi="Arial" w:cs="Arial"/>
          <w:color w:val="auto"/>
          <w:sz w:val="20"/>
          <w:szCs w:val="20"/>
        </w:rPr>
        <w:t>Metode istraživanja u ovome radu obuhvaćaju pregled stručne literature u okviru kojih se ras</w:t>
      </w:r>
      <w:r w:rsidR="00F3463E">
        <w:rPr>
          <w:rFonts w:ascii="Arial" w:eastAsia="Arial" w:hAnsi="Arial" w:cs="Arial"/>
          <w:color w:val="auto"/>
          <w:sz w:val="20"/>
          <w:szCs w:val="20"/>
        </w:rPr>
        <w:t>pravlja o gospodarskom razvoju G</w:t>
      </w:r>
      <w:r w:rsidR="00DB39CA" w:rsidRPr="00F316DA">
        <w:rPr>
          <w:rFonts w:ascii="Arial" w:eastAsia="Arial" w:hAnsi="Arial" w:cs="Arial"/>
          <w:color w:val="auto"/>
          <w:sz w:val="20"/>
          <w:szCs w:val="20"/>
        </w:rPr>
        <w:t>rada Prel</w:t>
      </w:r>
      <w:r w:rsidRPr="00F316DA">
        <w:rPr>
          <w:rFonts w:ascii="Arial" w:eastAsia="Arial" w:hAnsi="Arial" w:cs="Arial"/>
          <w:color w:val="auto"/>
          <w:sz w:val="20"/>
          <w:szCs w:val="20"/>
        </w:rPr>
        <w:t xml:space="preserve">oga. Prvi korak u istraživanju </w:t>
      </w:r>
      <w:r w:rsidR="00DB39CA" w:rsidRPr="00F316DA">
        <w:rPr>
          <w:rFonts w:ascii="Arial" w:eastAsia="Arial" w:hAnsi="Arial" w:cs="Arial"/>
          <w:color w:val="auto"/>
          <w:sz w:val="20"/>
          <w:szCs w:val="20"/>
        </w:rPr>
        <w:t xml:space="preserve">preuzimanje </w:t>
      </w:r>
      <w:r w:rsidRPr="00F316DA">
        <w:rPr>
          <w:rFonts w:ascii="Arial" w:eastAsia="Arial" w:hAnsi="Arial" w:cs="Arial"/>
          <w:color w:val="auto"/>
          <w:sz w:val="20"/>
          <w:szCs w:val="20"/>
        </w:rPr>
        <w:t xml:space="preserve">je </w:t>
      </w:r>
      <w:r w:rsidR="00DB39CA" w:rsidRPr="00F316DA">
        <w:rPr>
          <w:rFonts w:ascii="Arial" w:eastAsia="Arial" w:hAnsi="Arial" w:cs="Arial"/>
          <w:color w:val="auto"/>
          <w:sz w:val="20"/>
          <w:szCs w:val="20"/>
        </w:rPr>
        <w:t>LANDSAT satelitskih snimaka i izrada klasifikacije po</w:t>
      </w:r>
      <w:r w:rsidR="00F3463E">
        <w:rPr>
          <w:rFonts w:ascii="Arial" w:eastAsia="Arial" w:hAnsi="Arial" w:cs="Arial"/>
          <w:color w:val="auto"/>
          <w:sz w:val="20"/>
          <w:szCs w:val="20"/>
        </w:rPr>
        <w:t>krova i korištenja zemljišta</w:t>
      </w:r>
      <w:r w:rsidRPr="00F316DA">
        <w:rPr>
          <w:rFonts w:ascii="Arial" w:eastAsia="Arial" w:hAnsi="Arial" w:cs="Arial"/>
          <w:color w:val="auto"/>
          <w:sz w:val="20"/>
          <w:szCs w:val="20"/>
        </w:rPr>
        <w:t xml:space="preserve"> u četiri</w:t>
      </w:r>
      <w:r w:rsidR="00DB39CA" w:rsidRPr="00F316DA">
        <w:rPr>
          <w:rFonts w:ascii="Arial" w:eastAsia="Arial" w:hAnsi="Arial" w:cs="Arial"/>
          <w:color w:val="auto"/>
          <w:sz w:val="20"/>
          <w:szCs w:val="20"/>
        </w:rPr>
        <w:t xml:space="preserve"> klase: voda, šuma, poljoprivredno zemljište i izgradnja kao nadogradnja na naš prošlogodišnji proje</w:t>
      </w:r>
      <w:r w:rsidR="00F3463E">
        <w:rPr>
          <w:rFonts w:ascii="Arial" w:eastAsia="Arial" w:hAnsi="Arial" w:cs="Arial"/>
          <w:color w:val="auto"/>
          <w:sz w:val="20"/>
          <w:szCs w:val="20"/>
        </w:rPr>
        <w:t>kt, ali na užem prostoru samog G</w:t>
      </w:r>
      <w:r w:rsidR="00DB39CA" w:rsidRPr="00F316DA">
        <w:rPr>
          <w:rFonts w:ascii="Arial" w:eastAsia="Arial" w:hAnsi="Arial" w:cs="Arial"/>
          <w:color w:val="auto"/>
          <w:sz w:val="20"/>
          <w:szCs w:val="20"/>
        </w:rPr>
        <w:t>rada Preloga i okolnih naselja za 1991., 2001., i 2011. godinu.</w:t>
      </w:r>
      <w:r w:rsidR="00EE0255" w:rsidRPr="00F316DA">
        <w:rPr>
          <w:color w:val="auto"/>
        </w:rPr>
        <w:t xml:space="preserve"> </w:t>
      </w:r>
      <w:r w:rsidR="00DB39CA" w:rsidRPr="00F316DA">
        <w:rPr>
          <w:rFonts w:ascii="Arial" w:eastAsia="Arial" w:hAnsi="Arial" w:cs="Arial"/>
          <w:color w:val="auto"/>
          <w:sz w:val="20"/>
          <w:szCs w:val="20"/>
        </w:rPr>
        <w:t>Grad Prelog s</w:t>
      </w:r>
      <w:r w:rsidRPr="00F316DA">
        <w:rPr>
          <w:rFonts w:ascii="Arial" w:eastAsia="Arial" w:hAnsi="Arial" w:cs="Arial"/>
          <w:color w:val="auto"/>
          <w:sz w:val="20"/>
          <w:szCs w:val="20"/>
        </w:rPr>
        <w:t>astoji se od samog grada i još sedam</w:t>
      </w:r>
      <w:r w:rsidR="00DB39CA" w:rsidRPr="00F316DA">
        <w:rPr>
          <w:rFonts w:ascii="Arial" w:eastAsia="Arial" w:hAnsi="Arial" w:cs="Arial"/>
          <w:color w:val="auto"/>
          <w:sz w:val="20"/>
          <w:szCs w:val="20"/>
        </w:rPr>
        <w:t xml:space="preserve"> manjih ruralnih naselja</w:t>
      </w:r>
      <w:r w:rsidRPr="00F316DA">
        <w:rPr>
          <w:rFonts w:ascii="Arial" w:eastAsia="Arial" w:hAnsi="Arial" w:cs="Arial"/>
          <w:color w:val="auto"/>
          <w:sz w:val="20"/>
          <w:szCs w:val="20"/>
        </w:rPr>
        <w:t>: Čehovca</w:t>
      </w:r>
      <w:r w:rsidR="00DB39CA" w:rsidRPr="00F316DA">
        <w:rPr>
          <w:rFonts w:ascii="Arial" w:eastAsia="Arial" w:hAnsi="Arial" w:cs="Arial"/>
          <w:color w:val="auto"/>
          <w:sz w:val="20"/>
          <w:szCs w:val="20"/>
        </w:rPr>
        <w:t>, Otok</w:t>
      </w:r>
      <w:r w:rsidRPr="00F316DA">
        <w:rPr>
          <w:rFonts w:ascii="Arial" w:eastAsia="Arial" w:hAnsi="Arial" w:cs="Arial"/>
          <w:color w:val="auto"/>
          <w:sz w:val="20"/>
          <w:szCs w:val="20"/>
        </w:rPr>
        <w:t>a</w:t>
      </w:r>
      <w:r w:rsidR="00DB39CA" w:rsidRPr="00F316DA">
        <w:rPr>
          <w:rFonts w:ascii="Arial" w:eastAsia="Arial" w:hAnsi="Arial" w:cs="Arial"/>
          <w:color w:val="auto"/>
          <w:sz w:val="20"/>
          <w:szCs w:val="20"/>
        </w:rPr>
        <w:t>, Cirkovljan</w:t>
      </w:r>
      <w:r w:rsidRPr="00F316DA">
        <w:rPr>
          <w:rFonts w:ascii="Arial" w:eastAsia="Arial" w:hAnsi="Arial" w:cs="Arial"/>
          <w:color w:val="auto"/>
          <w:sz w:val="20"/>
          <w:szCs w:val="20"/>
        </w:rPr>
        <w:t>a, Oporov</w:t>
      </w:r>
      <w:r w:rsidR="00DB39CA" w:rsidRPr="00F316DA">
        <w:rPr>
          <w:rFonts w:ascii="Arial" w:eastAsia="Arial" w:hAnsi="Arial" w:cs="Arial"/>
          <w:color w:val="auto"/>
          <w:sz w:val="20"/>
          <w:szCs w:val="20"/>
        </w:rPr>
        <w:t>c</w:t>
      </w:r>
      <w:r w:rsidRPr="00F316DA">
        <w:rPr>
          <w:rFonts w:ascii="Arial" w:eastAsia="Arial" w:hAnsi="Arial" w:cs="Arial"/>
          <w:color w:val="auto"/>
          <w:sz w:val="20"/>
          <w:szCs w:val="20"/>
        </w:rPr>
        <w:t>a, Draškov</w:t>
      </w:r>
      <w:r w:rsidR="00DB39CA" w:rsidRPr="00F316DA">
        <w:rPr>
          <w:rFonts w:ascii="Arial" w:eastAsia="Arial" w:hAnsi="Arial" w:cs="Arial"/>
          <w:color w:val="auto"/>
          <w:sz w:val="20"/>
          <w:szCs w:val="20"/>
        </w:rPr>
        <w:t>c</w:t>
      </w:r>
      <w:r w:rsidRPr="00F316DA">
        <w:rPr>
          <w:rFonts w:ascii="Arial" w:eastAsia="Arial" w:hAnsi="Arial" w:cs="Arial"/>
          <w:color w:val="auto"/>
          <w:sz w:val="20"/>
          <w:szCs w:val="20"/>
        </w:rPr>
        <w:t>a, Hemušev</w:t>
      </w:r>
      <w:r w:rsidR="00DB39CA" w:rsidRPr="00F316DA">
        <w:rPr>
          <w:rFonts w:ascii="Arial" w:eastAsia="Arial" w:hAnsi="Arial" w:cs="Arial"/>
          <w:color w:val="auto"/>
          <w:sz w:val="20"/>
          <w:szCs w:val="20"/>
        </w:rPr>
        <w:t>c</w:t>
      </w:r>
      <w:r w:rsidRPr="00F316DA">
        <w:rPr>
          <w:rFonts w:ascii="Arial" w:eastAsia="Arial" w:hAnsi="Arial" w:cs="Arial"/>
          <w:color w:val="auto"/>
          <w:sz w:val="20"/>
          <w:szCs w:val="20"/>
        </w:rPr>
        <w:t>a i Čukov</w:t>
      </w:r>
      <w:r w:rsidR="00DB39CA" w:rsidRPr="00F316DA">
        <w:rPr>
          <w:rFonts w:ascii="Arial" w:eastAsia="Arial" w:hAnsi="Arial" w:cs="Arial"/>
          <w:color w:val="auto"/>
          <w:sz w:val="20"/>
          <w:szCs w:val="20"/>
        </w:rPr>
        <w:t>c</w:t>
      </w:r>
      <w:r w:rsidRPr="00F316DA">
        <w:rPr>
          <w:rFonts w:ascii="Arial" w:eastAsia="Arial" w:hAnsi="Arial" w:cs="Arial"/>
          <w:color w:val="auto"/>
          <w:sz w:val="20"/>
          <w:szCs w:val="20"/>
        </w:rPr>
        <w:t>a</w:t>
      </w:r>
      <w:r w:rsidR="00DB39CA" w:rsidRPr="00F316DA">
        <w:rPr>
          <w:rFonts w:ascii="Arial" w:eastAsia="Arial" w:hAnsi="Arial" w:cs="Arial"/>
          <w:color w:val="auto"/>
          <w:sz w:val="20"/>
          <w:szCs w:val="20"/>
        </w:rPr>
        <w:t xml:space="preserve">. Grad Prelog administrativno </w:t>
      </w:r>
      <w:r w:rsidRPr="00F316DA">
        <w:rPr>
          <w:rFonts w:ascii="Arial" w:eastAsia="Arial" w:hAnsi="Arial" w:cs="Arial"/>
          <w:color w:val="auto"/>
          <w:sz w:val="20"/>
          <w:szCs w:val="20"/>
        </w:rPr>
        <w:t xml:space="preserve">je </w:t>
      </w:r>
      <w:r w:rsidR="00DB39CA" w:rsidRPr="00F316DA">
        <w:rPr>
          <w:rFonts w:ascii="Arial" w:eastAsia="Arial" w:hAnsi="Arial" w:cs="Arial"/>
          <w:color w:val="auto"/>
          <w:sz w:val="20"/>
          <w:szCs w:val="20"/>
        </w:rPr>
        <w:t xml:space="preserve">središte ovih naselja te njima upravlja. </w:t>
      </w:r>
    </w:p>
    <w:p w:rsidR="00966E43" w:rsidRPr="00F316DA" w:rsidRDefault="00DB39CA" w:rsidP="00EE0255">
      <w:pPr>
        <w:spacing w:after="0" w:line="240" w:lineRule="auto"/>
        <w:ind w:left="720"/>
        <w:jc w:val="both"/>
        <w:rPr>
          <w:color w:val="auto"/>
        </w:rPr>
      </w:pPr>
      <w:r w:rsidRPr="00F316DA">
        <w:rPr>
          <w:noProof/>
          <w:color w:val="auto"/>
        </w:rPr>
        <w:drawing>
          <wp:inline distT="0" distB="0" distL="114300" distR="114300">
            <wp:extent cx="3431816" cy="2130950"/>
            <wp:effectExtent l="19050" t="0" r="0" b="0"/>
            <wp:docPr id="6" name="image25.jpg" descr="INDUSTRIJSKE ZONE.JPG"/>
            <wp:cNvGraphicFramePr/>
            <a:graphic xmlns:a="http://schemas.openxmlformats.org/drawingml/2006/main">
              <a:graphicData uri="http://schemas.openxmlformats.org/drawingml/2006/picture">
                <pic:pic xmlns:pic="http://schemas.openxmlformats.org/drawingml/2006/picture">
                  <pic:nvPicPr>
                    <pic:cNvPr id="0" name="image25.jpg" descr="INDUSTRIJSKE ZONE.JPG"/>
                    <pic:cNvPicPr preferRelativeResize="0"/>
                  </pic:nvPicPr>
                  <pic:blipFill>
                    <a:blip r:embed="rId6"/>
                    <a:srcRect/>
                    <a:stretch>
                      <a:fillRect/>
                    </a:stretch>
                  </pic:blipFill>
                  <pic:spPr>
                    <a:xfrm>
                      <a:off x="0" y="0"/>
                      <a:ext cx="3437003" cy="2134171"/>
                    </a:xfrm>
                    <a:prstGeom prst="rect">
                      <a:avLst/>
                    </a:prstGeom>
                    <a:ln/>
                  </pic:spPr>
                </pic:pic>
              </a:graphicData>
            </a:graphic>
          </wp:inline>
        </w:drawing>
      </w:r>
    </w:p>
    <w:p w:rsidR="00966E43" w:rsidRPr="00F316DA" w:rsidRDefault="00F316DA" w:rsidP="00EE0255">
      <w:pPr>
        <w:spacing w:after="0" w:line="240" w:lineRule="auto"/>
        <w:jc w:val="both"/>
        <w:rPr>
          <w:color w:val="auto"/>
        </w:rPr>
      </w:pPr>
      <w:r w:rsidRPr="00F316DA">
        <w:rPr>
          <w:rFonts w:ascii="Arial" w:eastAsia="Arial" w:hAnsi="Arial" w:cs="Arial"/>
          <w:color w:val="auto"/>
          <w:sz w:val="20"/>
          <w:szCs w:val="20"/>
        </w:rPr>
        <w:t>Slika 1. Granica G</w:t>
      </w:r>
      <w:r w:rsidR="00DB39CA" w:rsidRPr="00F316DA">
        <w:rPr>
          <w:rFonts w:ascii="Arial" w:eastAsia="Arial" w:hAnsi="Arial" w:cs="Arial"/>
          <w:color w:val="auto"/>
          <w:sz w:val="20"/>
          <w:szCs w:val="20"/>
        </w:rPr>
        <w:t>rada Preloga i područja industrijskih zona</w:t>
      </w:r>
    </w:p>
    <w:p w:rsidR="00966E43" w:rsidRPr="00F316DA" w:rsidRDefault="00966E43" w:rsidP="00EE0255">
      <w:pPr>
        <w:spacing w:after="0" w:line="240" w:lineRule="auto"/>
        <w:jc w:val="both"/>
        <w:rPr>
          <w:color w:val="auto"/>
        </w:rPr>
      </w:pPr>
    </w:p>
    <w:p w:rsidR="00966E43" w:rsidRDefault="00DB39CA" w:rsidP="00EE0255">
      <w:pPr>
        <w:spacing w:line="240" w:lineRule="auto"/>
        <w:jc w:val="both"/>
        <w:rPr>
          <w:rFonts w:ascii="Arial" w:eastAsia="Arial" w:hAnsi="Arial" w:cs="Arial"/>
          <w:color w:val="auto"/>
          <w:sz w:val="20"/>
          <w:szCs w:val="20"/>
        </w:rPr>
      </w:pPr>
      <w:r w:rsidRPr="00F316DA">
        <w:rPr>
          <w:rFonts w:ascii="Arial" w:eastAsia="Arial" w:hAnsi="Arial" w:cs="Arial"/>
          <w:color w:val="auto"/>
          <w:sz w:val="20"/>
          <w:szCs w:val="20"/>
        </w:rPr>
        <w:lastRenderedPageBreak/>
        <w:t>Snimka prikazuje granicu Grada Preloga prema ostalim općinama te je puferima  prikazano područje sjeverne i istočne industrijske zone na kojima smo promatrali industrijsko širenje grada i na kojem se temeljilo naše istraživanje. Same industrijske zone smještene su na rubu grada što je vidljivo i na samoj snimci. Industrijska zona Prelog – Istok  nalazi se na prometnici koja vodi prema ruralnom naselju Cirkovljan. Uslijed potrebe za proširenjem proizvodnih kapaciteta postojećih poduzetnika i nemogućnošću daljnjeg širenja u zoni Istok, u razdoblju od 200</w:t>
      </w:r>
      <w:r w:rsidR="00CD03AB" w:rsidRPr="00F316DA">
        <w:rPr>
          <w:rFonts w:ascii="Arial" w:eastAsia="Arial" w:hAnsi="Arial" w:cs="Arial"/>
          <w:color w:val="auto"/>
          <w:sz w:val="20"/>
          <w:szCs w:val="20"/>
        </w:rPr>
        <w:t xml:space="preserve">5. do 2008. godine razvijena je i </w:t>
      </w:r>
      <w:r w:rsidRPr="00F316DA">
        <w:rPr>
          <w:rFonts w:ascii="Arial" w:eastAsia="Arial" w:hAnsi="Arial" w:cs="Arial"/>
          <w:color w:val="auto"/>
          <w:sz w:val="20"/>
          <w:szCs w:val="20"/>
        </w:rPr>
        <w:t xml:space="preserve"> izgrađena </w:t>
      </w:r>
      <w:r w:rsidR="00CD03AB" w:rsidRPr="00F316DA">
        <w:rPr>
          <w:rFonts w:ascii="Arial" w:eastAsia="Arial" w:hAnsi="Arial" w:cs="Arial"/>
          <w:color w:val="auto"/>
          <w:sz w:val="20"/>
          <w:szCs w:val="20"/>
        </w:rPr>
        <w:t xml:space="preserve">u </w:t>
      </w:r>
      <w:r w:rsidRPr="00F316DA">
        <w:rPr>
          <w:rFonts w:ascii="Arial" w:eastAsia="Arial" w:hAnsi="Arial" w:cs="Arial"/>
          <w:color w:val="auto"/>
          <w:sz w:val="20"/>
          <w:szCs w:val="20"/>
        </w:rPr>
        <w:t>potpunosti komunalno opremljena Industrijska zona Prelog  - Sjever.</w:t>
      </w:r>
    </w:p>
    <w:p w:rsidR="00F3463E" w:rsidRPr="00F316DA" w:rsidRDefault="00F3463E" w:rsidP="00EE0255">
      <w:pPr>
        <w:spacing w:line="240" w:lineRule="auto"/>
        <w:jc w:val="both"/>
        <w:rPr>
          <w:color w:val="auto"/>
        </w:rPr>
      </w:pPr>
    </w:p>
    <w:p w:rsidR="00DB39CA" w:rsidRPr="00F316DA" w:rsidRDefault="00DB39CA" w:rsidP="00EE0255">
      <w:pPr>
        <w:spacing w:line="240" w:lineRule="auto"/>
        <w:jc w:val="both"/>
        <w:rPr>
          <w:color w:val="auto"/>
        </w:rPr>
      </w:pPr>
      <w:r w:rsidRPr="00F316DA">
        <w:rPr>
          <w:noProof/>
          <w:color w:val="auto"/>
        </w:rPr>
        <w:drawing>
          <wp:inline distT="0" distB="0" distL="114300" distR="114300">
            <wp:extent cx="1518700" cy="1653872"/>
            <wp:effectExtent l="19050" t="0" r="5300" b="0"/>
            <wp:docPr id="5"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7" cstate="print"/>
                    <a:srcRect/>
                    <a:stretch>
                      <a:fillRect/>
                    </a:stretch>
                  </pic:blipFill>
                  <pic:spPr>
                    <a:xfrm>
                      <a:off x="0" y="0"/>
                      <a:ext cx="1516573" cy="1651555"/>
                    </a:xfrm>
                    <a:prstGeom prst="rect">
                      <a:avLst/>
                    </a:prstGeom>
                    <a:ln/>
                  </pic:spPr>
                </pic:pic>
              </a:graphicData>
            </a:graphic>
          </wp:inline>
        </w:drawing>
      </w:r>
      <w:r w:rsidRPr="00F316DA">
        <w:rPr>
          <w:noProof/>
          <w:color w:val="auto"/>
        </w:rPr>
        <w:drawing>
          <wp:inline distT="0" distB="0" distL="114300" distR="114300">
            <wp:extent cx="1547357" cy="1653871"/>
            <wp:effectExtent l="19050" t="0" r="0" b="0"/>
            <wp:docPr id="8"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8" cstate="print"/>
                    <a:srcRect/>
                    <a:stretch>
                      <a:fillRect/>
                    </a:stretch>
                  </pic:blipFill>
                  <pic:spPr>
                    <a:xfrm>
                      <a:off x="0" y="0"/>
                      <a:ext cx="1551766" cy="1658584"/>
                    </a:xfrm>
                    <a:prstGeom prst="rect">
                      <a:avLst/>
                    </a:prstGeom>
                    <a:ln/>
                  </pic:spPr>
                </pic:pic>
              </a:graphicData>
            </a:graphic>
          </wp:inline>
        </w:drawing>
      </w:r>
      <w:r w:rsidRPr="00F316DA">
        <w:rPr>
          <w:noProof/>
          <w:color w:val="auto"/>
        </w:rPr>
        <w:drawing>
          <wp:inline distT="0" distB="0" distL="114300" distR="114300">
            <wp:extent cx="1661823" cy="1661774"/>
            <wp:effectExtent l="19050" t="0" r="0" b="0"/>
            <wp:docPr id="7"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9" cstate="print"/>
                    <a:srcRect/>
                    <a:stretch>
                      <a:fillRect/>
                    </a:stretch>
                  </pic:blipFill>
                  <pic:spPr>
                    <a:xfrm>
                      <a:off x="0" y="0"/>
                      <a:ext cx="1659495" cy="1659446"/>
                    </a:xfrm>
                    <a:prstGeom prst="rect">
                      <a:avLst/>
                    </a:prstGeom>
                    <a:ln/>
                  </pic:spPr>
                </pic:pic>
              </a:graphicData>
            </a:graphic>
          </wp:inline>
        </w:drawing>
      </w:r>
    </w:p>
    <w:p w:rsidR="00966E43" w:rsidRPr="00F316DA" w:rsidRDefault="00F3463E" w:rsidP="00EE0255">
      <w:pPr>
        <w:spacing w:line="240" w:lineRule="auto"/>
        <w:jc w:val="both"/>
        <w:rPr>
          <w:color w:val="auto"/>
        </w:rPr>
      </w:pPr>
      <w:r>
        <w:rPr>
          <w:color w:val="auto"/>
        </w:rPr>
        <w:t>Slika 2</w:t>
      </w:r>
      <w:r w:rsidR="00DB39CA" w:rsidRPr="00F316DA">
        <w:rPr>
          <w:color w:val="auto"/>
        </w:rPr>
        <w:t>. Infrared snimke za 1992., 2001. i 2011. godinu</w:t>
      </w:r>
    </w:p>
    <w:p w:rsidR="00966E43" w:rsidRPr="00F316DA" w:rsidRDefault="00DB39CA" w:rsidP="00EE0255">
      <w:pPr>
        <w:spacing w:line="240" w:lineRule="auto"/>
        <w:jc w:val="both"/>
        <w:rPr>
          <w:color w:val="auto"/>
        </w:rPr>
      </w:pPr>
      <w:r w:rsidRPr="00F316DA">
        <w:rPr>
          <w:rFonts w:ascii="Arial" w:eastAsia="Arial" w:hAnsi="Arial" w:cs="Arial"/>
          <w:color w:val="auto"/>
          <w:sz w:val="20"/>
          <w:szCs w:val="20"/>
        </w:rPr>
        <w:t>Ovdje su prikazane infrared snimke nastale RGB kompozicijom. One su prvi korak u stvaranju klasificiranih satelitskih snimaka u kojima s</w:t>
      </w:r>
      <w:r w:rsidR="00CD03AB" w:rsidRPr="00F316DA">
        <w:rPr>
          <w:rFonts w:ascii="Arial" w:eastAsia="Arial" w:hAnsi="Arial" w:cs="Arial"/>
          <w:color w:val="auto"/>
          <w:sz w:val="20"/>
          <w:szCs w:val="20"/>
        </w:rPr>
        <w:t xml:space="preserve">mo odabrali prethodno navedene četiri klase. </w:t>
      </w:r>
      <w:r w:rsidR="00C34CED">
        <w:rPr>
          <w:rFonts w:ascii="Arial" w:eastAsia="Arial" w:hAnsi="Arial" w:cs="Arial"/>
          <w:color w:val="auto"/>
          <w:sz w:val="20"/>
          <w:szCs w:val="20"/>
        </w:rPr>
        <w:t xml:space="preserve">Naredbom „RGB </w:t>
      </w:r>
      <w:proofErr w:type="spellStart"/>
      <w:r w:rsidR="00C34CED">
        <w:rPr>
          <w:rFonts w:ascii="Arial" w:eastAsia="Arial" w:hAnsi="Arial" w:cs="Arial"/>
          <w:color w:val="auto"/>
          <w:sz w:val="20"/>
          <w:szCs w:val="20"/>
        </w:rPr>
        <w:t>composition</w:t>
      </w:r>
      <w:proofErr w:type="spellEnd"/>
      <w:r w:rsidR="00F3463E">
        <w:rPr>
          <w:rFonts w:ascii="Arial" w:eastAsia="Arial" w:hAnsi="Arial" w:cs="Arial"/>
          <w:color w:val="auto"/>
          <w:sz w:val="20"/>
          <w:szCs w:val="20"/>
        </w:rPr>
        <w:t>„ p</w:t>
      </w:r>
      <w:r w:rsidRPr="00F316DA">
        <w:rPr>
          <w:rFonts w:ascii="Arial" w:eastAsia="Arial" w:hAnsi="Arial" w:cs="Arial"/>
          <w:color w:val="auto"/>
          <w:sz w:val="20"/>
          <w:szCs w:val="20"/>
        </w:rPr>
        <w:t xml:space="preserve">rogram je analizirao i klasificirao područje u </w:t>
      </w:r>
      <w:r w:rsidR="00CD03AB" w:rsidRPr="00F316DA">
        <w:rPr>
          <w:rFonts w:ascii="Arial" w:eastAsia="Arial" w:hAnsi="Arial" w:cs="Arial"/>
          <w:color w:val="auto"/>
          <w:sz w:val="20"/>
          <w:szCs w:val="20"/>
        </w:rPr>
        <w:t>spomenute četiri</w:t>
      </w:r>
      <w:r w:rsidRPr="00F316DA">
        <w:rPr>
          <w:rFonts w:ascii="Arial" w:eastAsia="Arial" w:hAnsi="Arial" w:cs="Arial"/>
          <w:color w:val="auto"/>
          <w:sz w:val="20"/>
          <w:szCs w:val="20"/>
        </w:rPr>
        <w:t xml:space="preserve"> klase na temelju valnih duljina koje to određeno područje odbija. RGB kompozicija zapravo </w:t>
      </w:r>
      <w:r w:rsidR="00CD03AB" w:rsidRPr="00F316DA">
        <w:rPr>
          <w:rFonts w:ascii="Arial" w:eastAsia="Arial" w:hAnsi="Arial" w:cs="Arial"/>
          <w:color w:val="auto"/>
          <w:sz w:val="20"/>
          <w:szCs w:val="20"/>
        </w:rPr>
        <w:t xml:space="preserve">je </w:t>
      </w:r>
      <w:r w:rsidRPr="00F316DA">
        <w:rPr>
          <w:rFonts w:ascii="Arial" w:eastAsia="Arial" w:hAnsi="Arial" w:cs="Arial"/>
          <w:color w:val="auto"/>
          <w:sz w:val="20"/>
          <w:szCs w:val="20"/>
        </w:rPr>
        <w:t>kombinacija snimaka koje preklapamo i time dobivamo infrared, true ili false snimku. Infrared snimka funkcionira na principu da satelit šalje signale</w:t>
      </w:r>
      <w:r w:rsidR="00CD03AB" w:rsidRPr="00F316DA">
        <w:rPr>
          <w:rFonts w:ascii="Arial" w:eastAsia="Arial" w:hAnsi="Arial" w:cs="Arial"/>
          <w:color w:val="auto"/>
          <w:sz w:val="20"/>
          <w:szCs w:val="20"/>
        </w:rPr>
        <w:t xml:space="preserve"> i oni se odbijaju od površine te</w:t>
      </w:r>
      <w:r w:rsidRPr="00F316DA">
        <w:rPr>
          <w:rFonts w:ascii="Arial" w:eastAsia="Arial" w:hAnsi="Arial" w:cs="Arial"/>
          <w:color w:val="auto"/>
          <w:sz w:val="20"/>
          <w:szCs w:val="20"/>
        </w:rPr>
        <w:t xml:space="preserve"> satelit njihova odbijanja procesira. Ovdje je vrlo bitno napomenuti da svaki razl</w:t>
      </w:r>
      <w:r w:rsidR="00CD03AB" w:rsidRPr="00F316DA">
        <w:rPr>
          <w:rFonts w:ascii="Arial" w:eastAsia="Arial" w:hAnsi="Arial" w:cs="Arial"/>
          <w:color w:val="auto"/>
          <w:sz w:val="20"/>
          <w:szCs w:val="20"/>
        </w:rPr>
        <w:t>ičiti predmet tj. klasa odbija</w:t>
      </w:r>
      <w:r w:rsidRPr="00F316DA">
        <w:rPr>
          <w:rFonts w:ascii="Arial" w:eastAsia="Arial" w:hAnsi="Arial" w:cs="Arial"/>
          <w:color w:val="auto"/>
          <w:sz w:val="20"/>
          <w:szCs w:val="20"/>
        </w:rPr>
        <w:t xml:space="preserve"> svoj signal različitom valnom duljinom te na temelju toga slažemo snimke da bismo dobili infrared snimku. Možemo vidjeti da je snimka iz 1991. godine znatno mutnija i neprecizna, a to je zbog toga što je LANDSAT 4 najstariji dostupni satelit te su njegove snimke snimane 60m x 60m</w:t>
      </w:r>
      <w:r w:rsidR="00CD03AB" w:rsidRPr="00F316DA">
        <w:rPr>
          <w:rFonts w:ascii="Arial" w:eastAsia="Arial" w:hAnsi="Arial" w:cs="Arial"/>
          <w:color w:val="auto"/>
          <w:sz w:val="20"/>
          <w:szCs w:val="20"/>
        </w:rPr>
        <w:t>,</w:t>
      </w:r>
      <w:r w:rsidRPr="00F316DA">
        <w:rPr>
          <w:rFonts w:ascii="Arial" w:eastAsia="Arial" w:hAnsi="Arial" w:cs="Arial"/>
          <w:color w:val="auto"/>
          <w:sz w:val="20"/>
          <w:szCs w:val="20"/>
        </w:rPr>
        <w:t xml:space="preserve"> dok su u 2001. i 2011. godini preciznije, čišće i točnije snimke jer su snimane 30m x 30m. Također, sve snimke koje su nastale prije 1992. godine moraju se obrađivati posebnim algoritmima jer za njih nije moguće napraviti običnu RGB kompoziciju u kojoj bi se</w:t>
      </w:r>
      <w:r w:rsidR="00CD03AB" w:rsidRPr="00F316DA">
        <w:rPr>
          <w:rFonts w:ascii="Arial" w:eastAsia="Arial" w:hAnsi="Arial" w:cs="Arial"/>
          <w:color w:val="auto"/>
          <w:sz w:val="20"/>
          <w:szCs w:val="20"/>
        </w:rPr>
        <w:t xml:space="preserve"> x i y os koordinata poklapale, stog</w:t>
      </w:r>
      <w:r w:rsidRPr="00F316DA">
        <w:rPr>
          <w:rFonts w:ascii="Arial" w:eastAsia="Arial" w:hAnsi="Arial" w:cs="Arial"/>
          <w:color w:val="auto"/>
          <w:sz w:val="20"/>
          <w:szCs w:val="20"/>
        </w:rPr>
        <w:t>a smo u ovom istraživanju morali koristili prvu godinu LANDSAT</w:t>
      </w:r>
      <w:r w:rsidR="00CD03AB" w:rsidRPr="00F316DA">
        <w:rPr>
          <w:rFonts w:ascii="Arial" w:eastAsia="Arial" w:hAnsi="Arial" w:cs="Arial"/>
          <w:color w:val="auto"/>
          <w:sz w:val="20"/>
          <w:szCs w:val="20"/>
        </w:rPr>
        <w:t xml:space="preserve"> 5 satelita,</w:t>
      </w:r>
      <w:r w:rsidR="00F3463E">
        <w:rPr>
          <w:rFonts w:ascii="Arial" w:eastAsia="Arial" w:hAnsi="Arial" w:cs="Arial"/>
          <w:color w:val="auto"/>
          <w:sz w:val="20"/>
          <w:szCs w:val="20"/>
        </w:rPr>
        <w:t xml:space="preserve"> </w:t>
      </w:r>
      <w:r w:rsidR="00E20B02" w:rsidRPr="00F316DA">
        <w:rPr>
          <w:rFonts w:ascii="Arial" w:eastAsia="Arial" w:hAnsi="Arial" w:cs="Arial"/>
          <w:color w:val="auto"/>
          <w:sz w:val="20"/>
          <w:szCs w:val="20"/>
        </w:rPr>
        <w:t>tj.</w:t>
      </w:r>
      <w:r w:rsidR="00F3463E">
        <w:rPr>
          <w:rFonts w:ascii="Arial" w:eastAsia="Arial" w:hAnsi="Arial" w:cs="Arial"/>
          <w:color w:val="auto"/>
          <w:sz w:val="20"/>
          <w:szCs w:val="20"/>
        </w:rPr>
        <w:t xml:space="preserve"> </w:t>
      </w:r>
      <w:r w:rsidRPr="00F316DA">
        <w:rPr>
          <w:rFonts w:ascii="Arial" w:eastAsia="Arial" w:hAnsi="Arial" w:cs="Arial"/>
          <w:color w:val="auto"/>
          <w:sz w:val="20"/>
          <w:szCs w:val="20"/>
        </w:rPr>
        <w:t>1992. godinu. Iako je dio LANDSAT-a 5 i 1992. godina ima izrazito mutne snimke jer tada nivo tehnologije nij</w:t>
      </w:r>
      <w:r w:rsidR="001904DF" w:rsidRPr="00F316DA">
        <w:rPr>
          <w:rFonts w:ascii="Arial" w:eastAsia="Arial" w:hAnsi="Arial" w:cs="Arial"/>
          <w:color w:val="auto"/>
          <w:sz w:val="20"/>
          <w:szCs w:val="20"/>
        </w:rPr>
        <w:t>e bio na današnjoj razini. Usprkos</w:t>
      </w:r>
      <w:r w:rsidRPr="00F316DA">
        <w:rPr>
          <w:rFonts w:ascii="Arial" w:eastAsia="Arial" w:hAnsi="Arial" w:cs="Arial"/>
          <w:color w:val="auto"/>
          <w:sz w:val="20"/>
          <w:szCs w:val="20"/>
        </w:rPr>
        <w:t xml:space="preserve"> mutnim snimkama, uspjeli smo napraviti RGB kompoziciju i klasifikaciju snimke. Problem s kojim smo se susreli u izradi klasifikacije je </w:t>
      </w:r>
      <w:r w:rsidR="001904DF" w:rsidRPr="00F316DA">
        <w:rPr>
          <w:rFonts w:ascii="Arial" w:eastAsia="Arial" w:hAnsi="Arial" w:cs="Arial"/>
          <w:color w:val="auto"/>
          <w:sz w:val="20"/>
          <w:szCs w:val="20"/>
        </w:rPr>
        <w:t>nečistost snimke te</w:t>
      </w:r>
      <w:r w:rsidRPr="00F316DA">
        <w:rPr>
          <w:rFonts w:ascii="Arial" w:eastAsia="Arial" w:hAnsi="Arial" w:cs="Arial"/>
          <w:color w:val="auto"/>
          <w:sz w:val="20"/>
          <w:szCs w:val="20"/>
        </w:rPr>
        <w:t xml:space="preserve"> program nije mogao najtočnije procesuirati podatke koje je ona sadržavala pa se tako na nekoliko mjesta na snimci Grada Preloga pojavljuje klasa izgradnje iako to nije bila izgradnja</w:t>
      </w:r>
      <w:r w:rsidR="001904DF" w:rsidRPr="00F316DA">
        <w:rPr>
          <w:rFonts w:ascii="Arial" w:eastAsia="Arial" w:hAnsi="Arial" w:cs="Arial"/>
          <w:color w:val="auto"/>
          <w:sz w:val="20"/>
          <w:szCs w:val="20"/>
        </w:rPr>
        <w:t>,</w:t>
      </w:r>
      <w:r w:rsidRPr="00F316DA">
        <w:rPr>
          <w:rFonts w:ascii="Arial" w:eastAsia="Arial" w:hAnsi="Arial" w:cs="Arial"/>
          <w:color w:val="auto"/>
          <w:sz w:val="20"/>
          <w:szCs w:val="20"/>
        </w:rPr>
        <w:t xml:space="preserve"> već su neki usjevi na poljoprivrednim zemljištima vraćali iste valne duljine kao i izgradnja. Također</w:t>
      </w:r>
      <w:r w:rsidR="001904DF" w:rsidRPr="00F316DA">
        <w:rPr>
          <w:rFonts w:ascii="Arial" w:eastAsia="Arial" w:hAnsi="Arial" w:cs="Arial"/>
          <w:color w:val="auto"/>
          <w:sz w:val="20"/>
          <w:szCs w:val="20"/>
        </w:rPr>
        <w:t xml:space="preserve">, </w:t>
      </w:r>
      <w:r w:rsidRPr="00F316DA">
        <w:rPr>
          <w:rFonts w:ascii="Arial" w:eastAsia="Arial" w:hAnsi="Arial" w:cs="Arial"/>
          <w:color w:val="auto"/>
          <w:sz w:val="20"/>
          <w:szCs w:val="20"/>
        </w:rPr>
        <w:t xml:space="preserve"> zeleni usjevi su na nekim mjestima vraćali iste valne duljine kao i šume. Za 2001. godinu nismo imali nikakvih problema kod klasifikacije te smo koristili LANDSAT 5 satelitske snimke i njih smo normalno obrađivali po uzoru na naš prošlogodišnji projekt. Prilikom odabira godina za istraživanje u ovom projektu</w:t>
      </w:r>
      <w:r w:rsidR="001904DF" w:rsidRPr="00F316DA">
        <w:rPr>
          <w:rFonts w:ascii="Arial" w:eastAsia="Arial" w:hAnsi="Arial" w:cs="Arial"/>
          <w:color w:val="auto"/>
          <w:sz w:val="20"/>
          <w:szCs w:val="20"/>
        </w:rPr>
        <w:t>, nismo imali informacije</w:t>
      </w:r>
      <w:r w:rsidRPr="00F316DA">
        <w:rPr>
          <w:rFonts w:ascii="Arial" w:eastAsia="Arial" w:hAnsi="Arial" w:cs="Arial"/>
          <w:color w:val="auto"/>
          <w:sz w:val="20"/>
          <w:szCs w:val="20"/>
        </w:rPr>
        <w:t xml:space="preserve"> ni saznanja o tome da je zapravo 2011. i 2012. godine došlo do kvara na LANDSAT 7 satelitu te cijeli LANDSAT sustav tih godina nije radio. Pojavile su se praznine i snimke nisu bile cjelovite</w:t>
      </w:r>
      <w:r w:rsidR="001904DF" w:rsidRPr="00F316DA">
        <w:rPr>
          <w:rFonts w:ascii="Arial" w:eastAsia="Arial" w:hAnsi="Arial" w:cs="Arial"/>
          <w:color w:val="auto"/>
          <w:sz w:val="20"/>
          <w:szCs w:val="20"/>
        </w:rPr>
        <w:t>,</w:t>
      </w:r>
      <w:r w:rsidRPr="00F316DA">
        <w:rPr>
          <w:rFonts w:ascii="Arial" w:eastAsia="Arial" w:hAnsi="Arial" w:cs="Arial"/>
          <w:color w:val="auto"/>
          <w:sz w:val="20"/>
          <w:szCs w:val="20"/>
        </w:rPr>
        <w:t xml:space="preserve"> već su na mjestima bile isprekidane. Spajanje tih snimka iziskuje izrazite matematičke i geoinformatičke sposobnosti te nismo bile u mogućnosti </w:t>
      </w:r>
      <w:r w:rsidR="002703E4" w:rsidRPr="00F316DA">
        <w:rPr>
          <w:rFonts w:ascii="Arial" w:eastAsia="Arial" w:hAnsi="Arial" w:cs="Arial"/>
          <w:color w:val="auto"/>
          <w:sz w:val="20"/>
          <w:szCs w:val="20"/>
        </w:rPr>
        <w:t xml:space="preserve"> obraditi takve snimke. Pronašli</w:t>
      </w:r>
      <w:r w:rsidRPr="00F316DA">
        <w:rPr>
          <w:rFonts w:ascii="Arial" w:eastAsia="Arial" w:hAnsi="Arial" w:cs="Arial"/>
          <w:color w:val="auto"/>
          <w:sz w:val="20"/>
          <w:szCs w:val="20"/>
        </w:rPr>
        <w:t xml:space="preserve"> smo snimke LANDSAT 8 za 2011. te smo na njima primijenili  postupke po uzoru na n</w:t>
      </w:r>
      <w:r w:rsidR="001904DF" w:rsidRPr="00F316DA">
        <w:rPr>
          <w:rFonts w:ascii="Arial" w:eastAsia="Arial" w:hAnsi="Arial" w:cs="Arial"/>
          <w:color w:val="auto"/>
          <w:sz w:val="20"/>
          <w:szCs w:val="20"/>
        </w:rPr>
        <w:t>aš prošlogodišnji projekt. Poda</w:t>
      </w:r>
      <w:r w:rsidRPr="00F316DA">
        <w:rPr>
          <w:rFonts w:ascii="Arial" w:eastAsia="Arial" w:hAnsi="Arial" w:cs="Arial"/>
          <w:color w:val="auto"/>
          <w:sz w:val="20"/>
          <w:szCs w:val="20"/>
        </w:rPr>
        <w:t>ci o gospodarskom</w:t>
      </w:r>
      <w:r w:rsidR="00F3463E">
        <w:rPr>
          <w:rFonts w:ascii="Arial" w:eastAsia="Arial" w:hAnsi="Arial" w:cs="Arial"/>
          <w:color w:val="auto"/>
          <w:sz w:val="20"/>
          <w:szCs w:val="20"/>
        </w:rPr>
        <w:t xml:space="preserve"> sastavu stanovništva Preloga</w:t>
      </w:r>
      <w:r w:rsidRPr="00F316DA">
        <w:rPr>
          <w:rFonts w:ascii="Arial" w:eastAsia="Arial" w:hAnsi="Arial" w:cs="Arial"/>
          <w:color w:val="auto"/>
          <w:sz w:val="20"/>
          <w:szCs w:val="20"/>
        </w:rPr>
        <w:t>, izvoru prihoda, udjelu poljoprivrednog i nep</w:t>
      </w:r>
      <w:r w:rsidR="00F3463E">
        <w:rPr>
          <w:rFonts w:ascii="Arial" w:eastAsia="Arial" w:hAnsi="Arial" w:cs="Arial"/>
          <w:color w:val="auto"/>
          <w:sz w:val="20"/>
          <w:szCs w:val="20"/>
        </w:rPr>
        <w:t>oljoprivrednog stanovništv,</w:t>
      </w:r>
      <w:r w:rsidRPr="00F316DA">
        <w:rPr>
          <w:rFonts w:ascii="Arial" w:eastAsia="Arial" w:hAnsi="Arial" w:cs="Arial"/>
          <w:color w:val="auto"/>
          <w:sz w:val="20"/>
          <w:szCs w:val="20"/>
        </w:rPr>
        <w:t xml:space="preserve"> broju zaposlenih u industriji </w:t>
      </w:r>
      <w:r w:rsidR="00F3463E">
        <w:rPr>
          <w:rFonts w:ascii="Arial" w:eastAsia="Arial" w:hAnsi="Arial" w:cs="Arial"/>
          <w:color w:val="auto"/>
          <w:sz w:val="20"/>
          <w:szCs w:val="20"/>
        </w:rPr>
        <w:t xml:space="preserve">i broju stanovnika u Gradu Prelog </w:t>
      </w:r>
      <w:r w:rsidRPr="00F316DA">
        <w:rPr>
          <w:rFonts w:ascii="Arial" w:eastAsia="Arial" w:hAnsi="Arial" w:cs="Arial"/>
          <w:color w:val="auto"/>
          <w:sz w:val="20"/>
          <w:szCs w:val="20"/>
        </w:rPr>
        <w:t xml:space="preserve">preuzeti su iz popisa stanovništva za ranije navedene godine od strane Državnog zavoda za statistiku. Za obje satelitske snimke dobili smo i tablice s površinama u hektarima koje svaka određena klasa zauzima. Interpretirali smo klasificirane satelitske snimke </w:t>
      </w:r>
      <w:r w:rsidR="00F3463E">
        <w:rPr>
          <w:rFonts w:ascii="Arial" w:eastAsia="Arial" w:hAnsi="Arial" w:cs="Arial"/>
          <w:color w:val="auto"/>
          <w:sz w:val="20"/>
          <w:szCs w:val="20"/>
        </w:rPr>
        <w:t xml:space="preserve">Grada </w:t>
      </w:r>
      <w:r w:rsidRPr="00F316DA">
        <w:rPr>
          <w:rFonts w:ascii="Arial" w:eastAsia="Arial" w:hAnsi="Arial" w:cs="Arial"/>
          <w:color w:val="auto"/>
          <w:sz w:val="20"/>
          <w:szCs w:val="20"/>
        </w:rPr>
        <w:t xml:space="preserve">Preloga, odredili promjene koje su se dogodile u načinu korištenja zemljišta te smo na temelju snimaka i usporedbom </w:t>
      </w:r>
      <w:r w:rsidR="00F3463E">
        <w:rPr>
          <w:rFonts w:ascii="Arial" w:eastAsia="Arial" w:hAnsi="Arial" w:cs="Arial"/>
          <w:color w:val="auto"/>
          <w:sz w:val="20"/>
          <w:szCs w:val="20"/>
        </w:rPr>
        <w:t>s podatacima</w:t>
      </w:r>
      <w:r w:rsidRPr="00F316DA">
        <w:rPr>
          <w:rFonts w:ascii="Arial" w:eastAsia="Arial" w:hAnsi="Arial" w:cs="Arial"/>
          <w:color w:val="auto"/>
          <w:sz w:val="20"/>
          <w:szCs w:val="20"/>
        </w:rPr>
        <w:t xml:space="preserve"> popisa stanovništva dolazili do zaključaka. </w:t>
      </w:r>
    </w:p>
    <w:p w:rsidR="00966E43" w:rsidRPr="00F316DA" w:rsidRDefault="00966E43" w:rsidP="00EE0255">
      <w:pPr>
        <w:spacing w:line="240" w:lineRule="auto"/>
        <w:jc w:val="both"/>
        <w:rPr>
          <w:color w:val="auto"/>
        </w:rPr>
      </w:pPr>
      <w:bookmarkStart w:id="0" w:name="h.gjdgxs" w:colFirst="0" w:colLast="0"/>
      <w:bookmarkEnd w:id="0"/>
    </w:p>
    <w:p w:rsidR="00966E43" w:rsidRPr="00F316DA" w:rsidRDefault="00DB39CA" w:rsidP="00EE0255">
      <w:pPr>
        <w:numPr>
          <w:ilvl w:val="0"/>
          <w:numId w:val="1"/>
        </w:numPr>
        <w:spacing w:after="0" w:line="240" w:lineRule="auto"/>
        <w:ind w:hanging="360"/>
        <w:contextualSpacing/>
        <w:jc w:val="both"/>
        <w:rPr>
          <w:rFonts w:ascii="Arial" w:eastAsia="Arial" w:hAnsi="Arial" w:cs="Arial"/>
          <w:color w:val="auto"/>
          <w:sz w:val="20"/>
          <w:szCs w:val="20"/>
        </w:rPr>
      </w:pPr>
      <w:r w:rsidRPr="00F316DA">
        <w:rPr>
          <w:rFonts w:ascii="Arial" w:eastAsia="Arial" w:hAnsi="Arial" w:cs="Arial"/>
          <w:color w:val="auto"/>
          <w:sz w:val="20"/>
          <w:szCs w:val="20"/>
        </w:rPr>
        <w:lastRenderedPageBreak/>
        <w:t>ANALIZA PODATAKA / PRIKAZ PODATAKA</w:t>
      </w:r>
    </w:p>
    <w:p w:rsidR="00966E43" w:rsidRPr="00F316DA" w:rsidRDefault="00966E43" w:rsidP="00EE0255">
      <w:pPr>
        <w:spacing w:after="0" w:line="240" w:lineRule="auto"/>
        <w:ind w:left="720"/>
        <w:jc w:val="both"/>
        <w:rPr>
          <w:color w:val="auto"/>
        </w:rPr>
      </w:pPr>
    </w:p>
    <w:p w:rsidR="00966E43" w:rsidRPr="00F316DA" w:rsidRDefault="00DB39CA" w:rsidP="00EE0255">
      <w:pPr>
        <w:spacing w:after="0" w:line="240" w:lineRule="auto"/>
        <w:jc w:val="both"/>
        <w:rPr>
          <w:color w:val="auto"/>
        </w:rPr>
      </w:pPr>
      <w:r w:rsidRPr="00F316DA">
        <w:rPr>
          <w:noProof/>
          <w:color w:val="auto"/>
        </w:rPr>
        <w:drawing>
          <wp:inline distT="0" distB="0" distL="114300" distR="114300">
            <wp:extent cx="2056241" cy="2170706"/>
            <wp:effectExtent l="19050" t="0" r="1159" b="0"/>
            <wp:docPr id="10"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0"/>
                    <a:srcRect/>
                    <a:stretch>
                      <a:fillRect/>
                    </a:stretch>
                  </pic:blipFill>
                  <pic:spPr>
                    <a:xfrm>
                      <a:off x="0" y="0"/>
                      <a:ext cx="2059124" cy="2173750"/>
                    </a:xfrm>
                    <a:prstGeom prst="rect">
                      <a:avLst/>
                    </a:prstGeom>
                    <a:ln/>
                  </pic:spPr>
                </pic:pic>
              </a:graphicData>
            </a:graphic>
          </wp:inline>
        </w:drawing>
      </w:r>
      <w:r w:rsidRPr="00F316DA">
        <w:rPr>
          <w:noProof/>
          <w:color w:val="auto"/>
        </w:rPr>
        <w:drawing>
          <wp:inline distT="0" distB="0" distL="114300" distR="114300">
            <wp:extent cx="1865246" cy="556591"/>
            <wp:effectExtent l="19050" t="0" r="1654" b="0"/>
            <wp:docPr id="9"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11"/>
                    <a:srcRect/>
                    <a:stretch>
                      <a:fillRect/>
                    </a:stretch>
                  </pic:blipFill>
                  <pic:spPr>
                    <a:xfrm>
                      <a:off x="0" y="0"/>
                      <a:ext cx="1866265" cy="556895"/>
                    </a:xfrm>
                    <a:prstGeom prst="rect">
                      <a:avLst/>
                    </a:prstGeom>
                    <a:ln/>
                  </pic:spPr>
                </pic:pic>
              </a:graphicData>
            </a:graphic>
          </wp:inline>
        </w:drawing>
      </w:r>
    </w:p>
    <w:p w:rsidR="00966E43" w:rsidRPr="00F316DA" w:rsidRDefault="00F3463E" w:rsidP="00EE0255">
      <w:pPr>
        <w:spacing w:after="0" w:line="240" w:lineRule="auto"/>
        <w:ind w:left="720"/>
        <w:jc w:val="both"/>
        <w:rPr>
          <w:color w:val="auto"/>
        </w:rPr>
      </w:pPr>
      <w:r>
        <w:rPr>
          <w:rFonts w:ascii="Arial" w:eastAsia="Arial" w:hAnsi="Arial" w:cs="Arial"/>
          <w:color w:val="auto"/>
          <w:sz w:val="20"/>
          <w:szCs w:val="20"/>
        </w:rPr>
        <w:t>Slika 3</w:t>
      </w:r>
      <w:r w:rsidR="00DB39CA" w:rsidRPr="00F316DA">
        <w:rPr>
          <w:rFonts w:ascii="Arial" w:eastAsia="Arial" w:hAnsi="Arial" w:cs="Arial"/>
          <w:color w:val="auto"/>
          <w:sz w:val="20"/>
          <w:szCs w:val="20"/>
        </w:rPr>
        <w:t>. Klasificirana LANDSAT 5 satelitska snimka iz 1992. godine</w:t>
      </w:r>
    </w:p>
    <w:p w:rsidR="00966E43" w:rsidRPr="00F316DA" w:rsidRDefault="00966E43" w:rsidP="00EE0255">
      <w:pPr>
        <w:spacing w:after="0" w:line="240" w:lineRule="auto"/>
        <w:ind w:left="720"/>
        <w:jc w:val="both"/>
        <w:rPr>
          <w:color w:val="auto"/>
        </w:rPr>
      </w:pPr>
    </w:p>
    <w:p w:rsidR="00F316DA" w:rsidRPr="00F316DA" w:rsidRDefault="00DB39CA" w:rsidP="00EE0255">
      <w:pPr>
        <w:spacing w:after="0" w:line="240" w:lineRule="auto"/>
        <w:jc w:val="both"/>
        <w:rPr>
          <w:rFonts w:ascii="Arial" w:eastAsia="Arial" w:hAnsi="Arial" w:cs="Arial"/>
          <w:color w:val="auto"/>
          <w:sz w:val="20"/>
          <w:szCs w:val="20"/>
        </w:rPr>
      </w:pPr>
      <w:r w:rsidRPr="00F316DA">
        <w:rPr>
          <w:rFonts w:ascii="Arial" w:eastAsia="Arial" w:hAnsi="Arial" w:cs="Arial"/>
          <w:color w:val="auto"/>
          <w:sz w:val="20"/>
          <w:szCs w:val="20"/>
        </w:rPr>
        <w:t>Ovdje je prikazana klasificirana satel</w:t>
      </w:r>
      <w:r w:rsidR="00A75D99" w:rsidRPr="00F316DA">
        <w:rPr>
          <w:rFonts w:ascii="Arial" w:eastAsia="Arial" w:hAnsi="Arial" w:cs="Arial"/>
          <w:color w:val="auto"/>
          <w:sz w:val="20"/>
          <w:szCs w:val="20"/>
        </w:rPr>
        <w:t>itska snimka iz 1992. godine u četiri klase</w:t>
      </w:r>
      <w:r w:rsidRPr="00F316DA">
        <w:rPr>
          <w:rFonts w:ascii="Arial" w:eastAsia="Arial" w:hAnsi="Arial" w:cs="Arial"/>
          <w:color w:val="auto"/>
          <w:sz w:val="20"/>
          <w:szCs w:val="20"/>
        </w:rPr>
        <w:t xml:space="preserve">. Na </w:t>
      </w:r>
      <w:r w:rsidR="00A75D99" w:rsidRPr="00F316DA">
        <w:rPr>
          <w:rFonts w:ascii="Arial" w:eastAsia="Arial" w:hAnsi="Arial" w:cs="Arial"/>
          <w:color w:val="auto"/>
          <w:sz w:val="20"/>
          <w:szCs w:val="20"/>
        </w:rPr>
        <w:t>temelju</w:t>
      </w:r>
      <w:r w:rsidR="00C00947" w:rsidRPr="00F316DA">
        <w:rPr>
          <w:rFonts w:ascii="Arial" w:eastAsia="Arial" w:hAnsi="Arial" w:cs="Arial"/>
          <w:color w:val="auto"/>
          <w:sz w:val="20"/>
          <w:szCs w:val="20"/>
        </w:rPr>
        <w:t xml:space="preserve"> klasificirane satelitske</w:t>
      </w:r>
      <w:r w:rsidRPr="00F316DA">
        <w:rPr>
          <w:rFonts w:ascii="Arial" w:eastAsia="Arial" w:hAnsi="Arial" w:cs="Arial"/>
          <w:color w:val="auto"/>
          <w:sz w:val="20"/>
          <w:szCs w:val="20"/>
        </w:rPr>
        <w:t xml:space="preserve"> snimke vidljivo je da prevladava poljoprivredno područje i šuma.</w:t>
      </w:r>
    </w:p>
    <w:p w:rsidR="002A17C9" w:rsidRDefault="00DB39CA" w:rsidP="00EE0255">
      <w:pPr>
        <w:spacing w:after="0" w:line="240" w:lineRule="auto"/>
        <w:jc w:val="both"/>
        <w:rPr>
          <w:rFonts w:ascii="Arial" w:eastAsia="Arial" w:hAnsi="Arial" w:cs="Arial"/>
          <w:color w:val="auto"/>
          <w:sz w:val="20"/>
          <w:szCs w:val="20"/>
        </w:rPr>
      </w:pPr>
      <w:r w:rsidRPr="00F316DA">
        <w:rPr>
          <w:rFonts w:ascii="Arial" w:eastAsia="Arial" w:hAnsi="Arial" w:cs="Arial"/>
          <w:color w:val="auto"/>
          <w:sz w:val="20"/>
          <w:szCs w:val="20"/>
        </w:rPr>
        <w:t xml:space="preserve"> </w:t>
      </w:r>
    </w:p>
    <w:p w:rsidR="002A17C9" w:rsidRPr="00F316DA" w:rsidRDefault="002A17C9" w:rsidP="00EE0255">
      <w:pPr>
        <w:spacing w:after="0" w:line="240" w:lineRule="auto"/>
        <w:jc w:val="both"/>
        <w:rPr>
          <w:rFonts w:ascii="Arial" w:eastAsia="Arial" w:hAnsi="Arial" w:cs="Arial"/>
          <w:color w:val="auto"/>
          <w:sz w:val="20"/>
          <w:szCs w:val="20"/>
        </w:rPr>
      </w:pPr>
    </w:p>
    <w:p w:rsidR="00966E43" w:rsidRPr="00F316DA" w:rsidRDefault="00DB39CA" w:rsidP="00EE0255">
      <w:pPr>
        <w:spacing w:after="0" w:line="240" w:lineRule="auto"/>
        <w:jc w:val="both"/>
        <w:rPr>
          <w:color w:val="auto"/>
        </w:rPr>
      </w:pPr>
      <w:r w:rsidRPr="00F316DA">
        <w:rPr>
          <w:noProof/>
          <w:color w:val="auto"/>
        </w:rPr>
        <w:drawing>
          <wp:inline distT="0" distB="0" distL="114300" distR="114300">
            <wp:extent cx="2143705" cy="2202512"/>
            <wp:effectExtent l="19050" t="0" r="8945" b="0"/>
            <wp:docPr id="12"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12"/>
                    <a:srcRect/>
                    <a:stretch>
                      <a:fillRect/>
                    </a:stretch>
                  </pic:blipFill>
                  <pic:spPr>
                    <a:xfrm>
                      <a:off x="0" y="0"/>
                      <a:ext cx="2152745" cy="2211800"/>
                    </a:xfrm>
                    <a:prstGeom prst="rect">
                      <a:avLst/>
                    </a:prstGeom>
                    <a:ln/>
                  </pic:spPr>
                </pic:pic>
              </a:graphicData>
            </a:graphic>
          </wp:inline>
        </w:drawing>
      </w:r>
      <w:r w:rsidRPr="00F316DA">
        <w:rPr>
          <w:noProof/>
          <w:color w:val="auto"/>
        </w:rPr>
        <w:drawing>
          <wp:inline distT="0" distB="0" distL="114300" distR="114300">
            <wp:extent cx="1866265" cy="556895"/>
            <wp:effectExtent l="0" t="0" r="0" b="0"/>
            <wp:docPr id="11"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11"/>
                    <a:srcRect/>
                    <a:stretch>
                      <a:fillRect/>
                    </a:stretch>
                  </pic:blipFill>
                  <pic:spPr>
                    <a:xfrm>
                      <a:off x="0" y="0"/>
                      <a:ext cx="1866265" cy="556895"/>
                    </a:xfrm>
                    <a:prstGeom prst="rect">
                      <a:avLst/>
                    </a:prstGeom>
                    <a:ln/>
                  </pic:spPr>
                </pic:pic>
              </a:graphicData>
            </a:graphic>
          </wp:inline>
        </w:drawing>
      </w:r>
    </w:p>
    <w:p w:rsidR="00966E43" w:rsidRPr="00F316DA" w:rsidRDefault="00F3463E" w:rsidP="00EE0255">
      <w:pPr>
        <w:spacing w:after="0" w:line="240" w:lineRule="auto"/>
        <w:ind w:left="720"/>
        <w:jc w:val="both"/>
        <w:rPr>
          <w:color w:val="auto"/>
        </w:rPr>
      </w:pPr>
      <w:r>
        <w:rPr>
          <w:rFonts w:ascii="Arial" w:eastAsia="Arial" w:hAnsi="Arial" w:cs="Arial"/>
          <w:color w:val="auto"/>
          <w:sz w:val="20"/>
          <w:szCs w:val="20"/>
        </w:rPr>
        <w:t>Slika 4</w:t>
      </w:r>
      <w:r w:rsidR="00DB39CA" w:rsidRPr="00F316DA">
        <w:rPr>
          <w:rFonts w:ascii="Arial" w:eastAsia="Arial" w:hAnsi="Arial" w:cs="Arial"/>
          <w:color w:val="auto"/>
          <w:sz w:val="20"/>
          <w:szCs w:val="20"/>
        </w:rPr>
        <w:t>.</w:t>
      </w:r>
      <w:r w:rsidR="00420E67">
        <w:rPr>
          <w:rFonts w:ascii="Arial" w:eastAsia="Arial" w:hAnsi="Arial" w:cs="Arial"/>
          <w:color w:val="auto"/>
          <w:sz w:val="20"/>
          <w:szCs w:val="20"/>
        </w:rPr>
        <w:t xml:space="preserve"> </w:t>
      </w:r>
      <w:r w:rsidR="00DB39CA" w:rsidRPr="00F316DA">
        <w:rPr>
          <w:rFonts w:ascii="Arial" w:eastAsia="Arial" w:hAnsi="Arial" w:cs="Arial"/>
          <w:color w:val="auto"/>
          <w:sz w:val="20"/>
          <w:szCs w:val="20"/>
        </w:rPr>
        <w:t>Klasificirana LANDSAT 5 satelitska snimka iz 2001. godine</w:t>
      </w:r>
    </w:p>
    <w:p w:rsidR="00966E43" w:rsidRPr="00F316DA" w:rsidRDefault="00966E43" w:rsidP="00EE0255">
      <w:pPr>
        <w:spacing w:after="0" w:line="240" w:lineRule="auto"/>
        <w:ind w:left="720"/>
        <w:jc w:val="both"/>
        <w:rPr>
          <w:color w:val="auto"/>
        </w:rPr>
      </w:pPr>
    </w:p>
    <w:p w:rsidR="002A17C9" w:rsidRDefault="00A75D99" w:rsidP="00EE0255">
      <w:pPr>
        <w:spacing w:after="0" w:line="240" w:lineRule="auto"/>
        <w:jc w:val="both"/>
        <w:rPr>
          <w:rFonts w:ascii="Arial" w:eastAsia="Arial" w:hAnsi="Arial" w:cs="Arial"/>
          <w:color w:val="auto"/>
          <w:sz w:val="20"/>
          <w:szCs w:val="20"/>
        </w:rPr>
      </w:pPr>
      <w:r w:rsidRPr="00F316DA">
        <w:rPr>
          <w:rFonts w:ascii="Arial" w:eastAsia="Arial" w:hAnsi="Arial" w:cs="Arial"/>
          <w:color w:val="auto"/>
          <w:sz w:val="20"/>
          <w:szCs w:val="20"/>
        </w:rPr>
        <w:t>Slika 5. p</w:t>
      </w:r>
      <w:r w:rsidR="00DB39CA" w:rsidRPr="00F316DA">
        <w:rPr>
          <w:rFonts w:ascii="Arial" w:eastAsia="Arial" w:hAnsi="Arial" w:cs="Arial"/>
          <w:color w:val="auto"/>
          <w:sz w:val="20"/>
          <w:szCs w:val="20"/>
        </w:rPr>
        <w:t xml:space="preserve">rikazuje klasificiranu LANDSAT 5 satelitsku snimku za 2001. godinu. U odnosu na 1992. </w:t>
      </w:r>
      <w:r w:rsidRPr="00F316DA">
        <w:rPr>
          <w:rFonts w:ascii="Arial" w:eastAsia="Arial" w:hAnsi="Arial" w:cs="Arial"/>
          <w:color w:val="auto"/>
          <w:sz w:val="20"/>
          <w:szCs w:val="20"/>
        </w:rPr>
        <w:t xml:space="preserve">godinu </w:t>
      </w:r>
      <w:r w:rsidR="00DB39CA" w:rsidRPr="00F316DA">
        <w:rPr>
          <w:rFonts w:ascii="Arial" w:eastAsia="Arial" w:hAnsi="Arial" w:cs="Arial"/>
          <w:color w:val="auto"/>
          <w:sz w:val="20"/>
          <w:szCs w:val="20"/>
        </w:rPr>
        <w:t xml:space="preserve">vidljivo je </w:t>
      </w:r>
      <w:r w:rsidRPr="00F316DA">
        <w:rPr>
          <w:rFonts w:ascii="Arial" w:eastAsia="Arial" w:hAnsi="Arial" w:cs="Arial"/>
          <w:color w:val="auto"/>
          <w:sz w:val="20"/>
          <w:szCs w:val="20"/>
        </w:rPr>
        <w:t xml:space="preserve">povećanje u klasama izgradnje </w:t>
      </w:r>
      <w:r w:rsidR="00DB39CA" w:rsidRPr="00F316DA">
        <w:rPr>
          <w:rFonts w:ascii="Arial" w:eastAsia="Arial" w:hAnsi="Arial" w:cs="Arial"/>
          <w:color w:val="auto"/>
          <w:sz w:val="20"/>
          <w:szCs w:val="20"/>
        </w:rPr>
        <w:t xml:space="preserve">poljoprivrednog područja dok se šuma znatno smanjila, no to će sve preciznije biti prikazano u tabličnom prikazu. </w:t>
      </w:r>
    </w:p>
    <w:p w:rsidR="002A17C9" w:rsidRPr="00F316DA" w:rsidRDefault="002A17C9" w:rsidP="00EE0255">
      <w:pPr>
        <w:spacing w:after="0" w:line="240" w:lineRule="auto"/>
        <w:jc w:val="both"/>
        <w:rPr>
          <w:rFonts w:ascii="Arial" w:eastAsia="Arial" w:hAnsi="Arial" w:cs="Arial"/>
          <w:color w:val="auto"/>
          <w:sz w:val="20"/>
          <w:szCs w:val="20"/>
        </w:rPr>
      </w:pPr>
    </w:p>
    <w:p w:rsidR="00966E43" w:rsidRPr="00F316DA" w:rsidRDefault="00DB39CA" w:rsidP="00EE0255">
      <w:pPr>
        <w:spacing w:after="0" w:line="240" w:lineRule="auto"/>
        <w:jc w:val="both"/>
        <w:rPr>
          <w:color w:val="auto"/>
        </w:rPr>
      </w:pPr>
      <w:r w:rsidRPr="00F316DA">
        <w:rPr>
          <w:noProof/>
          <w:color w:val="auto"/>
        </w:rPr>
        <w:drawing>
          <wp:inline distT="0" distB="0" distL="114300" distR="114300">
            <wp:extent cx="2142766" cy="2202511"/>
            <wp:effectExtent l="19050" t="0" r="0" b="0"/>
            <wp:docPr id="15"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13"/>
                    <a:srcRect/>
                    <a:stretch>
                      <a:fillRect/>
                    </a:stretch>
                  </pic:blipFill>
                  <pic:spPr>
                    <a:xfrm>
                      <a:off x="0" y="0"/>
                      <a:ext cx="2147437" cy="2207312"/>
                    </a:xfrm>
                    <a:prstGeom prst="rect">
                      <a:avLst/>
                    </a:prstGeom>
                    <a:ln/>
                  </pic:spPr>
                </pic:pic>
              </a:graphicData>
            </a:graphic>
          </wp:inline>
        </w:drawing>
      </w:r>
      <w:r w:rsidRPr="00F316DA">
        <w:rPr>
          <w:noProof/>
          <w:color w:val="auto"/>
        </w:rPr>
        <w:drawing>
          <wp:inline distT="0" distB="0" distL="114300" distR="114300">
            <wp:extent cx="1866265" cy="556895"/>
            <wp:effectExtent l="0" t="0" r="0" b="0"/>
            <wp:docPr id="13"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11"/>
                    <a:srcRect/>
                    <a:stretch>
                      <a:fillRect/>
                    </a:stretch>
                  </pic:blipFill>
                  <pic:spPr>
                    <a:xfrm>
                      <a:off x="0" y="0"/>
                      <a:ext cx="1866265" cy="556895"/>
                    </a:xfrm>
                    <a:prstGeom prst="rect">
                      <a:avLst/>
                    </a:prstGeom>
                    <a:ln/>
                  </pic:spPr>
                </pic:pic>
              </a:graphicData>
            </a:graphic>
          </wp:inline>
        </w:drawing>
      </w:r>
    </w:p>
    <w:p w:rsidR="00EE0255" w:rsidRPr="002A17C9" w:rsidRDefault="00F3463E" w:rsidP="002A17C9">
      <w:pPr>
        <w:spacing w:after="0" w:line="240" w:lineRule="auto"/>
        <w:ind w:left="720"/>
        <w:jc w:val="both"/>
        <w:rPr>
          <w:rFonts w:ascii="Arial" w:eastAsia="Arial" w:hAnsi="Arial" w:cs="Arial"/>
          <w:color w:val="auto"/>
          <w:sz w:val="20"/>
          <w:szCs w:val="20"/>
        </w:rPr>
      </w:pPr>
      <w:r>
        <w:rPr>
          <w:rFonts w:ascii="Arial" w:eastAsia="Arial" w:hAnsi="Arial" w:cs="Arial"/>
          <w:color w:val="auto"/>
          <w:sz w:val="20"/>
          <w:szCs w:val="20"/>
        </w:rPr>
        <w:t>Slika 5</w:t>
      </w:r>
      <w:r w:rsidR="00DB39CA" w:rsidRPr="00F316DA">
        <w:rPr>
          <w:rFonts w:ascii="Arial" w:eastAsia="Arial" w:hAnsi="Arial" w:cs="Arial"/>
          <w:color w:val="auto"/>
          <w:sz w:val="20"/>
          <w:szCs w:val="20"/>
        </w:rPr>
        <w:t>. Klasificirana LANDSAT 8 satelitska snimka iz 2011. godine</w:t>
      </w:r>
    </w:p>
    <w:p w:rsidR="00EE0255" w:rsidRDefault="00DB39CA" w:rsidP="00EE0255">
      <w:pPr>
        <w:spacing w:after="0" w:line="240" w:lineRule="auto"/>
        <w:jc w:val="both"/>
        <w:rPr>
          <w:rFonts w:ascii="Arial" w:eastAsia="Arial" w:hAnsi="Arial" w:cs="Arial"/>
          <w:color w:val="auto"/>
          <w:sz w:val="20"/>
          <w:szCs w:val="20"/>
        </w:rPr>
      </w:pPr>
      <w:r w:rsidRPr="00F316DA">
        <w:rPr>
          <w:rFonts w:ascii="Arial" w:eastAsia="Arial" w:hAnsi="Arial" w:cs="Arial"/>
          <w:color w:val="auto"/>
          <w:sz w:val="20"/>
          <w:szCs w:val="20"/>
        </w:rPr>
        <w:lastRenderedPageBreak/>
        <w:t>Slika 6. prikazuje klasificiranu LANDSAT 8 satelitsku snimku za 2011. godinu te se jasno može primijetiti povećanje klase izgradnje i smanjenje klase šume i poljoprivrednog područja u odnosu na 1992. i 2001. godinu.</w:t>
      </w:r>
    </w:p>
    <w:p w:rsidR="00F3463E" w:rsidRPr="00F316DA" w:rsidRDefault="00F3463E" w:rsidP="00EE0255">
      <w:pPr>
        <w:spacing w:after="0" w:line="240" w:lineRule="auto"/>
        <w:jc w:val="both"/>
        <w:rPr>
          <w:rFonts w:ascii="Arial" w:eastAsia="Arial" w:hAnsi="Arial" w:cs="Arial"/>
          <w:color w:val="auto"/>
          <w:sz w:val="20"/>
          <w:szCs w:val="20"/>
        </w:rPr>
      </w:pPr>
    </w:p>
    <w:p w:rsidR="00966E43" w:rsidRPr="00F316DA" w:rsidRDefault="00966E43" w:rsidP="00EE0255">
      <w:pPr>
        <w:spacing w:after="0" w:line="240" w:lineRule="auto"/>
        <w:ind w:left="720"/>
        <w:jc w:val="both"/>
        <w:rPr>
          <w:color w:val="auto"/>
        </w:rPr>
      </w:pPr>
    </w:p>
    <w:p w:rsidR="00966E43" w:rsidRPr="00F316DA" w:rsidRDefault="00DB39CA" w:rsidP="00EE0255">
      <w:pPr>
        <w:spacing w:line="240" w:lineRule="auto"/>
        <w:ind w:left="720"/>
        <w:jc w:val="both"/>
        <w:rPr>
          <w:color w:val="auto"/>
        </w:rPr>
      </w:pPr>
      <w:r w:rsidRPr="00F316DA">
        <w:rPr>
          <w:rFonts w:ascii="Arial" w:eastAsia="Arial" w:hAnsi="Arial" w:cs="Arial"/>
          <w:color w:val="auto"/>
          <w:sz w:val="20"/>
          <w:szCs w:val="20"/>
        </w:rPr>
        <w:t>Tablica 1. Površine i postoci prekrivenosti zemljišta Međimurja određenom klasom</w:t>
      </w:r>
    </w:p>
    <w:p w:rsidR="00966E43" w:rsidRPr="00F316DA" w:rsidRDefault="00DB39CA" w:rsidP="00EE0255">
      <w:pPr>
        <w:spacing w:line="240" w:lineRule="auto"/>
        <w:jc w:val="both"/>
        <w:rPr>
          <w:color w:val="auto"/>
        </w:rPr>
      </w:pPr>
      <w:r w:rsidRPr="00F316DA">
        <w:rPr>
          <w:noProof/>
          <w:color w:val="auto"/>
        </w:rPr>
        <w:drawing>
          <wp:inline distT="0" distB="0" distL="114300" distR="114300">
            <wp:extent cx="4441632" cy="2441050"/>
            <wp:effectExtent l="19050" t="0" r="0" b="0"/>
            <wp:docPr id="14"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14"/>
                    <a:srcRect/>
                    <a:stretch>
                      <a:fillRect/>
                    </a:stretch>
                  </pic:blipFill>
                  <pic:spPr>
                    <a:xfrm>
                      <a:off x="0" y="0"/>
                      <a:ext cx="4456713" cy="2449338"/>
                    </a:xfrm>
                    <a:prstGeom prst="rect">
                      <a:avLst/>
                    </a:prstGeom>
                    <a:ln/>
                  </pic:spPr>
                </pic:pic>
              </a:graphicData>
            </a:graphic>
          </wp:inline>
        </w:drawing>
      </w:r>
    </w:p>
    <w:p w:rsidR="00966E43" w:rsidRPr="00F316DA" w:rsidRDefault="00DB39CA" w:rsidP="00EE0255">
      <w:pPr>
        <w:spacing w:after="0" w:line="240" w:lineRule="auto"/>
        <w:jc w:val="both"/>
        <w:rPr>
          <w:color w:val="auto"/>
        </w:rPr>
      </w:pPr>
      <w:r w:rsidRPr="00F316DA">
        <w:rPr>
          <w:rFonts w:ascii="Arial" w:eastAsia="Arial" w:hAnsi="Arial" w:cs="Arial"/>
          <w:color w:val="auto"/>
          <w:sz w:val="20"/>
          <w:szCs w:val="20"/>
        </w:rPr>
        <w:t>Udio  vode u razdoblju od 1991. do 2011. godine nije se puno mijenjao. U sve tri godine prekriva oko 1000 hektara površine Grada Preloga, tj. iznosi od 17,5 do 13,7%. Klasu šume karakterizira znatniji trend opadanja pa je tako površina pod šumom 1992. iznosila 35,3%, 2001. 19,6% te 2011.godine svega 15,2% ukupne površine Grada Preloga. Za klasu poljoprivrednog područja trend je suprotan nego kod klase šume pa tako ta klasa 1992. godine zauzima 18.9% površine, 2001. godine 27,2%</w:t>
      </w:r>
      <w:r w:rsidR="00840ECF" w:rsidRPr="00F316DA">
        <w:rPr>
          <w:rFonts w:ascii="Arial" w:eastAsia="Arial" w:hAnsi="Arial" w:cs="Arial"/>
          <w:color w:val="auto"/>
          <w:sz w:val="20"/>
          <w:szCs w:val="20"/>
        </w:rPr>
        <w:t>,</w:t>
      </w:r>
      <w:r w:rsidRPr="00F316DA">
        <w:rPr>
          <w:rFonts w:ascii="Arial" w:eastAsia="Arial" w:hAnsi="Arial" w:cs="Arial"/>
          <w:color w:val="auto"/>
          <w:sz w:val="20"/>
          <w:szCs w:val="20"/>
        </w:rPr>
        <w:t xml:space="preserve"> dok 2011. godine raste na 30,8%. Kao i za poljoprivredno zemljište, i klasu izgradnje karakterizira trend rasta i to s 28,0% u 1992. godini do čak 40,1% u 2011. godini. </w:t>
      </w:r>
    </w:p>
    <w:p w:rsidR="00966E43" w:rsidRPr="00F316DA" w:rsidRDefault="00966E43" w:rsidP="00EE0255">
      <w:pPr>
        <w:spacing w:after="0" w:line="240" w:lineRule="auto"/>
        <w:jc w:val="both"/>
        <w:rPr>
          <w:color w:val="auto"/>
        </w:rPr>
      </w:pPr>
    </w:p>
    <w:p w:rsidR="00966E43" w:rsidRDefault="00DB39CA" w:rsidP="00EE0255">
      <w:pPr>
        <w:spacing w:line="240" w:lineRule="auto"/>
        <w:jc w:val="both"/>
        <w:rPr>
          <w:rFonts w:ascii="Arial" w:eastAsia="Arial" w:hAnsi="Arial" w:cs="Arial"/>
          <w:color w:val="auto"/>
          <w:sz w:val="20"/>
          <w:szCs w:val="20"/>
        </w:rPr>
      </w:pPr>
      <w:r w:rsidRPr="00F316DA">
        <w:rPr>
          <w:rFonts w:ascii="Arial" w:eastAsia="Arial" w:hAnsi="Arial" w:cs="Arial"/>
          <w:color w:val="auto"/>
          <w:sz w:val="20"/>
          <w:szCs w:val="20"/>
        </w:rPr>
        <w:t>U tabličnim prikazima i strukturnim krugovima pobliže su predočeni neki demografski pokazatelji za Grad Prelog.</w:t>
      </w:r>
    </w:p>
    <w:p w:rsidR="00F3463E" w:rsidRPr="00F316DA" w:rsidRDefault="00F3463E" w:rsidP="00EE0255">
      <w:pPr>
        <w:spacing w:line="240" w:lineRule="auto"/>
        <w:jc w:val="both"/>
        <w:rPr>
          <w:color w:val="auto"/>
        </w:rPr>
      </w:pPr>
    </w:p>
    <w:p w:rsidR="00966E43" w:rsidRPr="00F316DA" w:rsidRDefault="00DB39CA" w:rsidP="00EE0255">
      <w:pPr>
        <w:spacing w:line="240" w:lineRule="auto"/>
        <w:jc w:val="both"/>
        <w:rPr>
          <w:color w:val="auto"/>
        </w:rPr>
      </w:pPr>
      <w:r w:rsidRPr="00F316DA">
        <w:rPr>
          <w:rFonts w:ascii="Arial" w:eastAsia="Arial" w:hAnsi="Arial" w:cs="Arial"/>
          <w:color w:val="auto"/>
          <w:sz w:val="20"/>
          <w:szCs w:val="20"/>
        </w:rPr>
        <w:t>Tablica 2. Stanovništvo po djelatnostima koje prevladavaju 1991., 2001. i 2011. godine (Izvor: DZS)</w:t>
      </w:r>
    </w:p>
    <w:tbl>
      <w:tblPr>
        <w:tblStyle w:val="a"/>
        <w:tblW w:w="80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7"/>
        <w:gridCol w:w="1703"/>
        <w:gridCol w:w="1703"/>
        <w:gridCol w:w="1703"/>
      </w:tblGrid>
      <w:tr w:rsidR="00966E43" w:rsidRPr="00F316DA" w:rsidTr="00DA0F8F">
        <w:trPr>
          <w:trHeight w:val="46"/>
        </w:trPr>
        <w:tc>
          <w:tcPr>
            <w:tcW w:w="2927" w:type="dxa"/>
            <w:vAlign w:val="center"/>
          </w:tcPr>
          <w:p w:rsidR="00966E43" w:rsidRPr="00DA0F8F" w:rsidRDefault="00966E43" w:rsidP="00EE0255">
            <w:pPr>
              <w:spacing w:line="240" w:lineRule="auto"/>
              <w:jc w:val="right"/>
              <w:rPr>
                <w:color w:val="auto"/>
                <w:sz w:val="20"/>
                <w:szCs w:val="20"/>
              </w:rPr>
            </w:pP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b/>
                <w:color w:val="auto"/>
                <w:sz w:val="20"/>
                <w:szCs w:val="20"/>
              </w:rPr>
              <w:t>1991. godina</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b/>
                <w:color w:val="auto"/>
                <w:sz w:val="20"/>
                <w:szCs w:val="20"/>
              </w:rPr>
              <w:t>2001. godina</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b/>
                <w:color w:val="auto"/>
                <w:sz w:val="20"/>
                <w:szCs w:val="20"/>
              </w:rPr>
              <w:t>2011. godina</w:t>
            </w:r>
          </w:p>
        </w:tc>
      </w:tr>
      <w:tr w:rsidR="00966E43" w:rsidRPr="00F316DA" w:rsidTr="00DA0F8F">
        <w:trPr>
          <w:trHeight w:val="76"/>
        </w:trPr>
        <w:tc>
          <w:tcPr>
            <w:tcW w:w="2927" w:type="dxa"/>
            <w:vAlign w:val="center"/>
          </w:tcPr>
          <w:p w:rsidR="00966E43" w:rsidRPr="00DA0F8F" w:rsidRDefault="00DB39CA" w:rsidP="00EE0255">
            <w:pPr>
              <w:spacing w:line="240" w:lineRule="auto"/>
              <w:rPr>
                <w:color w:val="auto"/>
                <w:sz w:val="20"/>
                <w:szCs w:val="20"/>
              </w:rPr>
            </w:pPr>
            <w:r w:rsidRPr="00DA0F8F">
              <w:rPr>
                <w:rFonts w:ascii="Arial" w:eastAsia="Arial" w:hAnsi="Arial" w:cs="Arial"/>
                <w:b/>
                <w:color w:val="auto"/>
                <w:sz w:val="20"/>
                <w:szCs w:val="20"/>
              </w:rPr>
              <w:t>Ukupan broj zaposlenih u Gradu Prelogu</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3292</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3486</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3101</w:t>
            </w:r>
          </w:p>
        </w:tc>
      </w:tr>
      <w:tr w:rsidR="00966E43" w:rsidRPr="00F316DA" w:rsidTr="00DA0F8F">
        <w:trPr>
          <w:trHeight w:val="46"/>
        </w:trPr>
        <w:tc>
          <w:tcPr>
            <w:tcW w:w="2927" w:type="dxa"/>
            <w:vAlign w:val="center"/>
          </w:tcPr>
          <w:p w:rsidR="00966E43" w:rsidRPr="00DA0F8F" w:rsidRDefault="00DB39CA" w:rsidP="00EE0255">
            <w:pPr>
              <w:spacing w:line="240" w:lineRule="auto"/>
              <w:rPr>
                <w:color w:val="auto"/>
                <w:sz w:val="20"/>
                <w:szCs w:val="20"/>
              </w:rPr>
            </w:pPr>
            <w:r w:rsidRPr="00DA0F8F">
              <w:rPr>
                <w:rFonts w:ascii="Arial" w:eastAsia="Arial" w:hAnsi="Arial" w:cs="Arial"/>
                <w:b/>
                <w:color w:val="auto"/>
                <w:sz w:val="20"/>
                <w:szCs w:val="20"/>
              </w:rPr>
              <w:t>Industrija</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1253</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1119</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1332</w:t>
            </w:r>
          </w:p>
        </w:tc>
      </w:tr>
      <w:tr w:rsidR="00966E43" w:rsidRPr="00F316DA" w:rsidTr="00DA0F8F">
        <w:trPr>
          <w:trHeight w:val="76"/>
        </w:trPr>
        <w:tc>
          <w:tcPr>
            <w:tcW w:w="2927" w:type="dxa"/>
            <w:vAlign w:val="center"/>
          </w:tcPr>
          <w:p w:rsidR="00966E43" w:rsidRPr="00DA0F8F" w:rsidRDefault="00DB39CA" w:rsidP="00EE0255">
            <w:pPr>
              <w:spacing w:line="240" w:lineRule="auto"/>
              <w:rPr>
                <w:color w:val="auto"/>
                <w:sz w:val="20"/>
                <w:szCs w:val="20"/>
              </w:rPr>
            </w:pPr>
            <w:r w:rsidRPr="00DA0F8F">
              <w:rPr>
                <w:rFonts w:ascii="Arial" w:eastAsia="Arial" w:hAnsi="Arial" w:cs="Arial"/>
                <w:b/>
                <w:color w:val="auto"/>
                <w:sz w:val="20"/>
                <w:szCs w:val="20"/>
              </w:rPr>
              <w:t>Poljoprivreda, lov, šumarstvo</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718</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854</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162</w:t>
            </w:r>
          </w:p>
        </w:tc>
      </w:tr>
      <w:tr w:rsidR="00966E43" w:rsidRPr="00F316DA" w:rsidTr="00DA0F8F">
        <w:trPr>
          <w:trHeight w:val="46"/>
        </w:trPr>
        <w:tc>
          <w:tcPr>
            <w:tcW w:w="2927" w:type="dxa"/>
            <w:vAlign w:val="center"/>
          </w:tcPr>
          <w:p w:rsidR="00966E43" w:rsidRPr="00DA0F8F" w:rsidRDefault="00DB39CA" w:rsidP="00EE0255">
            <w:pPr>
              <w:spacing w:line="240" w:lineRule="auto"/>
              <w:rPr>
                <w:color w:val="auto"/>
                <w:sz w:val="20"/>
                <w:szCs w:val="20"/>
              </w:rPr>
            </w:pPr>
            <w:r w:rsidRPr="00DA0F8F">
              <w:rPr>
                <w:rFonts w:ascii="Arial" w:eastAsia="Arial" w:hAnsi="Arial" w:cs="Arial"/>
                <w:b/>
                <w:color w:val="auto"/>
                <w:sz w:val="20"/>
                <w:szCs w:val="20"/>
              </w:rPr>
              <w:t>Ostalo</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1321</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1513</w:t>
            </w:r>
          </w:p>
        </w:tc>
        <w:tc>
          <w:tcPr>
            <w:tcW w:w="1703" w:type="dxa"/>
            <w:vAlign w:val="center"/>
          </w:tcPr>
          <w:p w:rsidR="00966E43" w:rsidRPr="00DA0F8F" w:rsidRDefault="00DB39CA" w:rsidP="00EE0255">
            <w:pPr>
              <w:spacing w:line="240" w:lineRule="auto"/>
              <w:jc w:val="right"/>
              <w:rPr>
                <w:color w:val="auto"/>
                <w:sz w:val="20"/>
                <w:szCs w:val="20"/>
              </w:rPr>
            </w:pPr>
            <w:r w:rsidRPr="00DA0F8F">
              <w:rPr>
                <w:rFonts w:ascii="Arial" w:eastAsia="Arial" w:hAnsi="Arial" w:cs="Arial"/>
                <w:color w:val="auto"/>
                <w:sz w:val="20"/>
                <w:szCs w:val="20"/>
              </w:rPr>
              <w:t>1607</w:t>
            </w:r>
          </w:p>
        </w:tc>
      </w:tr>
    </w:tbl>
    <w:p w:rsidR="00EE0255" w:rsidRPr="00F316DA" w:rsidRDefault="00EE0255" w:rsidP="00EE0255">
      <w:pPr>
        <w:spacing w:line="240" w:lineRule="auto"/>
        <w:jc w:val="both"/>
        <w:rPr>
          <w:rFonts w:ascii="Arial" w:eastAsia="Arial" w:hAnsi="Arial" w:cs="Arial"/>
          <w:color w:val="auto"/>
          <w:sz w:val="20"/>
          <w:szCs w:val="20"/>
        </w:rPr>
      </w:pPr>
    </w:p>
    <w:p w:rsidR="00F3463E" w:rsidRPr="002A17C9" w:rsidRDefault="00DB39CA" w:rsidP="00EE0255">
      <w:pPr>
        <w:spacing w:line="240" w:lineRule="auto"/>
        <w:jc w:val="both"/>
        <w:rPr>
          <w:rFonts w:ascii="Arial" w:eastAsia="Arial" w:hAnsi="Arial" w:cs="Arial"/>
          <w:color w:val="auto"/>
          <w:sz w:val="20"/>
          <w:szCs w:val="20"/>
        </w:rPr>
      </w:pPr>
      <w:r w:rsidRPr="00F316DA">
        <w:rPr>
          <w:rFonts w:ascii="Arial" w:eastAsia="Arial" w:hAnsi="Arial" w:cs="Arial"/>
          <w:color w:val="auto"/>
          <w:sz w:val="20"/>
          <w:szCs w:val="20"/>
        </w:rPr>
        <w:t>U 1991. godini vidljivo je da se čak 21,8% stanovnika Grada Preloga bavilo poljoprivredom</w:t>
      </w:r>
      <w:r w:rsidR="0038662D" w:rsidRPr="00F316DA">
        <w:rPr>
          <w:rFonts w:ascii="Arial" w:eastAsia="Arial" w:hAnsi="Arial" w:cs="Arial"/>
          <w:color w:val="auto"/>
          <w:sz w:val="20"/>
          <w:szCs w:val="20"/>
        </w:rPr>
        <w:t>,</w:t>
      </w:r>
      <w:r w:rsidRPr="00F316DA">
        <w:rPr>
          <w:rFonts w:ascii="Arial" w:eastAsia="Arial" w:hAnsi="Arial" w:cs="Arial"/>
          <w:color w:val="auto"/>
          <w:sz w:val="20"/>
          <w:szCs w:val="20"/>
        </w:rPr>
        <w:t xml:space="preserve"> odnosno primarnim djelatnostima dok njih 38,0% radi u prerađivačkoj industriji. Ostatak stanovništva bavio se ostalim djelatnostima poput trgovine, građevinskih djelatnosti i ostalo. Godine 2001.bilježimo blagi porast udjela stanovništva u primarnim djelatnostima, dok broj zaposlenih u industriji neznatno opada u odnosu na 1991. godinu. Tako poljoprivreda i industrija u 2001. godini na području Grada Preloga zauzimaju čak 56,5</w:t>
      </w:r>
      <w:r w:rsidRPr="00F316DA">
        <w:rPr>
          <w:rFonts w:ascii="Arial" w:eastAsia="Arial" w:hAnsi="Arial" w:cs="Arial"/>
          <w:color w:val="auto"/>
        </w:rPr>
        <w:t xml:space="preserve">% </w:t>
      </w:r>
      <w:r w:rsidRPr="00F316DA">
        <w:rPr>
          <w:rFonts w:ascii="Arial" w:eastAsia="Arial" w:hAnsi="Arial" w:cs="Arial"/>
          <w:color w:val="auto"/>
          <w:sz w:val="20"/>
          <w:szCs w:val="20"/>
        </w:rPr>
        <w:t xml:space="preserve">od ukupnog broja zaposlenih u svim djelatnostima. Poljoprivredom se bavilo 24,5%, a industrijom 32,0% stanovništva.U 2011. godini vidljiv je proces deagrarizacije tj. napuštanja </w:t>
      </w:r>
      <w:r w:rsidRPr="00F316DA">
        <w:rPr>
          <w:rFonts w:ascii="Arial" w:eastAsia="Arial" w:hAnsi="Arial" w:cs="Arial"/>
          <w:color w:val="auto"/>
          <w:sz w:val="20"/>
          <w:szCs w:val="20"/>
        </w:rPr>
        <w:lastRenderedPageBreak/>
        <w:t>poljoprivrede kao djelatnosti i glavnog izvora prihoda. Za razliku od 1991. i 2001. godine, stanovništvo koje se bavi poljoprivredom, lovom ili šumarstvom pada na samo 5,0% stanovnika na području Grada Preloga, dok 43% stanovništva radi u industriji.</w:t>
      </w:r>
    </w:p>
    <w:p w:rsidR="00966E43" w:rsidRPr="00F316DA" w:rsidRDefault="00DB39CA" w:rsidP="00EE0255">
      <w:pPr>
        <w:spacing w:line="240" w:lineRule="auto"/>
        <w:jc w:val="both"/>
        <w:rPr>
          <w:color w:val="auto"/>
        </w:rPr>
      </w:pPr>
      <w:r w:rsidRPr="00F316DA">
        <w:rPr>
          <w:rFonts w:ascii="Arial" w:eastAsia="Arial" w:hAnsi="Arial" w:cs="Arial"/>
          <w:color w:val="auto"/>
          <w:sz w:val="20"/>
          <w:szCs w:val="20"/>
        </w:rPr>
        <w:t>Tablica 3. Stanovništvo Grada Preloga prema glavnim izvorima sredstava za život 2011. godine (Izvor: DZS)</w:t>
      </w:r>
    </w:p>
    <w:tbl>
      <w:tblPr>
        <w:tblStyle w:val="a0"/>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966E43" w:rsidRPr="00F316DA">
        <w:tc>
          <w:tcPr>
            <w:tcW w:w="4644" w:type="dxa"/>
          </w:tcPr>
          <w:p w:rsidR="00966E43" w:rsidRPr="00DA0F8F" w:rsidRDefault="00966E43" w:rsidP="00EE0255">
            <w:pPr>
              <w:spacing w:after="0" w:line="240" w:lineRule="auto"/>
              <w:jc w:val="both"/>
              <w:rPr>
                <w:color w:val="auto"/>
                <w:sz w:val="20"/>
              </w:rPr>
            </w:pPr>
          </w:p>
        </w:tc>
        <w:tc>
          <w:tcPr>
            <w:tcW w:w="4644" w:type="dxa"/>
          </w:tcPr>
          <w:p w:rsidR="00966E43" w:rsidRPr="00DA0F8F" w:rsidRDefault="00DB39CA" w:rsidP="00EE0255">
            <w:pPr>
              <w:spacing w:after="0" w:line="240" w:lineRule="auto"/>
              <w:jc w:val="right"/>
              <w:rPr>
                <w:color w:val="auto"/>
                <w:sz w:val="20"/>
              </w:rPr>
            </w:pPr>
            <w:r w:rsidRPr="00DA0F8F">
              <w:rPr>
                <w:rFonts w:ascii="Arial" w:eastAsia="Arial" w:hAnsi="Arial" w:cs="Arial"/>
                <w:b/>
                <w:color w:val="auto"/>
                <w:sz w:val="20"/>
                <w:szCs w:val="20"/>
              </w:rPr>
              <w:t>UKUPNO STANOVNIKA</w:t>
            </w:r>
          </w:p>
        </w:tc>
      </w:tr>
      <w:tr w:rsidR="00966E43" w:rsidRPr="00F316DA">
        <w:tc>
          <w:tcPr>
            <w:tcW w:w="4644" w:type="dxa"/>
          </w:tcPr>
          <w:p w:rsidR="00966E43" w:rsidRPr="00DA0F8F" w:rsidRDefault="00DB39CA" w:rsidP="00EE0255">
            <w:pPr>
              <w:spacing w:after="0" w:line="240" w:lineRule="auto"/>
              <w:jc w:val="both"/>
              <w:rPr>
                <w:color w:val="auto"/>
                <w:sz w:val="20"/>
              </w:rPr>
            </w:pPr>
            <w:r w:rsidRPr="00DA0F8F">
              <w:rPr>
                <w:rFonts w:ascii="Arial" w:eastAsia="Arial" w:hAnsi="Arial" w:cs="Arial"/>
                <w:b/>
                <w:color w:val="auto"/>
                <w:sz w:val="20"/>
                <w:szCs w:val="20"/>
              </w:rPr>
              <w:t>Grad Prelog</w:t>
            </w:r>
          </w:p>
        </w:tc>
        <w:tc>
          <w:tcPr>
            <w:tcW w:w="4644" w:type="dxa"/>
          </w:tcPr>
          <w:p w:rsidR="00966E43" w:rsidRPr="00DA0F8F" w:rsidRDefault="00DB39CA" w:rsidP="00EE0255">
            <w:pPr>
              <w:spacing w:after="0" w:line="240" w:lineRule="auto"/>
              <w:jc w:val="right"/>
              <w:rPr>
                <w:color w:val="auto"/>
                <w:sz w:val="20"/>
              </w:rPr>
            </w:pPr>
            <w:r w:rsidRPr="00DA0F8F">
              <w:rPr>
                <w:rFonts w:ascii="Arial" w:eastAsia="Arial" w:hAnsi="Arial" w:cs="Arial"/>
                <w:color w:val="auto"/>
                <w:sz w:val="20"/>
                <w:szCs w:val="20"/>
              </w:rPr>
              <w:t>7815</w:t>
            </w:r>
          </w:p>
        </w:tc>
      </w:tr>
      <w:tr w:rsidR="00966E43" w:rsidRPr="00F316DA">
        <w:tc>
          <w:tcPr>
            <w:tcW w:w="4644" w:type="dxa"/>
          </w:tcPr>
          <w:p w:rsidR="00966E43" w:rsidRPr="00DA0F8F" w:rsidRDefault="00DB39CA" w:rsidP="00EE0255">
            <w:pPr>
              <w:spacing w:after="0" w:line="240" w:lineRule="auto"/>
              <w:jc w:val="both"/>
              <w:rPr>
                <w:color w:val="auto"/>
                <w:sz w:val="20"/>
              </w:rPr>
            </w:pPr>
            <w:r w:rsidRPr="00DA0F8F">
              <w:rPr>
                <w:rFonts w:ascii="Arial" w:eastAsia="Arial" w:hAnsi="Arial" w:cs="Arial"/>
                <w:b/>
                <w:color w:val="auto"/>
                <w:sz w:val="20"/>
                <w:szCs w:val="20"/>
              </w:rPr>
              <w:t>Prihodi od stalnog rada</w:t>
            </w:r>
          </w:p>
        </w:tc>
        <w:tc>
          <w:tcPr>
            <w:tcW w:w="4644" w:type="dxa"/>
          </w:tcPr>
          <w:p w:rsidR="00966E43" w:rsidRPr="00DA0F8F" w:rsidRDefault="00DB39CA" w:rsidP="00EE0255">
            <w:pPr>
              <w:spacing w:after="0" w:line="240" w:lineRule="auto"/>
              <w:jc w:val="right"/>
              <w:rPr>
                <w:color w:val="auto"/>
                <w:sz w:val="20"/>
              </w:rPr>
            </w:pPr>
            <w:r w:rsidRPr="00DA0F8F">
              <w:rPr>
                <w:rFonts w:ascii="Arial" w:eastAsia="Arial" w:hAnsi="Arial" w:cs="Arial"/>
                <w:color w:val="auto"/>
                <w:sz w:val="20"/>
                <w:szCs w:val="20"/>
              </w:rPr>
              <w:t>2982</w:t>
            </w:r>
          </w:p>
        </w:tc>
      </w:tr>
      <w:tr w:rsidR="00966E43" w:rsidRPr="00F316DA">
        <w:tc>
          <w:tcPr>
            <w:tcW w:w="4644" w:type="dxa"/>
          </w:tcPr>
          <w:p w:rsidR="00966E43" w:rsidRPr="00DA0F8F" w:rsidRDefault="00DB39CA" w:rsidP="00EE0255">
            <w:pPr>
              <w:spacing w:after="0" w:line="240" w:lineRule="auto"/>
              <w:jc w:val="both"/>
              <w:rPr>
                <w:color w:val="auto"/>
                <w:sz w:val="20"/>
              </w:rPr>
            </w:pPr>
            <w:r w:rsidRPr="00DA0F8F">
              <w:rPr>
                <w:rFonts w:ascii="Arial" w:eastAsia="Arial" w:hAnsi="Arial" w:cs="Arial"/>
                <w:b/>
                <w:color w:val="auto"/>
                <w:sz w:val="20"/>
                <w:szCs w:val="20"/>
              </w:rPr>
              <w:t>Prihodi od povremenog rada</w:t>
            </w:r>
          </w:p>
        </w:tc>
        <w:tc>
          <w:tcPr>
            <w:tcW w:w="4644" w:type="dxa"/>
          </w:tcPr>
          <w:p w:rsidR="00966E43" w:rsidRPr="00DA0F8F" w:rsidRDefault="00DB39CA" w:rsidP="00EE0255">
            <w:pPr>
              <w:spacing w:after="0" w:line="240" w:lineRule="auto"/>
              <w:jc w:val="right"/>
              <w:rPr>
                <w:color w:val="auto"/>
                <w:sz w:val="20"/>
              </w:rPr>
            </w:pPr>
            <w:r w:rsidRPr="00DA0F8F">
              <w:rPr>
                <w:rFonts w:ascii="Arial" w:eastAsia="Arial" w:hAnsi="Arial" w:cs="Arial"/>
                <w:color w:val="auto"/>
                <w:sz w:val="20"/>
                <w:szCs w:val="20"/>
              </w:rPr>
              <w:t>67</w:t>
            </w:r>
          </w:p>
        </w:tc>
      </w:tr>
      <w:tr w:rsidR="00966E43" w:rsidRPr="00F316DA">
        <w:tc>
          <w:tcPr>
            <w:tcW w:w="4644" w:type="dxa"/>
          </w:tcPr>
          <w:p w:rsidR="00966E43" w:rsidRPr="00DA0F8F" w:rsidRDefault="00DB39CA" w:rsidP="00EE0255">
            <w:pPr>
              <w:spacing w:after="0" w:line="240" w:lineRule="auto"/>
              <w:jc w:val="both"/>
              <w:rPr>
                <w:color w:val="auto"/>
                <w:sz w:val="20"/>
              </w:rPr>
            </w:pPr>
            <w:r w:rsidRPr="00DA0F8F">
              <w:rPr>
                <w:rFonts w:ascii="Arial" w:eastAsia="Arial" w:hAnsi="Arial" w:cs="Arial"/>
                <w:b/>
                <w:color w:val="auto"/>
                <w:sz w:val="20"/>
                <w:szCs w:val="20"/>
              </w:rPr>
              <w:t>Prihodi od poljoprivrede</w:t>
            </w:r>
          </w:p>
        </w:tc>
        <w:tc>
          <w:tcPr>
            <w:tcW w:w="4644" w:type="dxa"/>
          </w:tcPr>
          <w:p w:rsidR="00966E43" w:rsidRPr="00DA0F8F" w:rsidRDefault="00DB39CA" w:rsidP="00EE0255">
            <w:pPr>
              <w:spacing w:after="0" w:line="240" w:lineRule="auto"/>
              <w:jc w:val="right"/>
              <w:rPr>
                <w:color w:val="auto"/>
                <w:sz w:val="20"/>
              </w:rPr>
            </w:pPr>
            <w:r w:rsidRPr="00DA0F8F">
              <w:rPr>
                <w:rFonts w:ascii="Arial" w:eastAsia="Arial" w:hAnsi="Arial" w:cs="Arial"/>
                <w:color w:val="auto"/>
                <w:sz w:val="20"/>
                <w:szCs w:val="20"/>
              </w:rPr>
              <w:t>196</w:t>
            </w:r>
          </w:p>
        </w:tc>
      </w:tr>
    </w:tbl>
    <w:p w:rsidR="00F3463E" w:rsidRPr="002A17C9" w:rsidRDefault="00F316DA" w:rsidP="00F316DA">
      <w:pPr>
        <w:spacing w:line="240" w:lineRule="auto"/>
        <w:jc w:val="both"/>
        <w:rPr>
          <w:rFonts w:ascii="Arial" w:eastAsia="Arial" w:hAnsi="Arial" w:cs="Arial"/>
          <w:color w:val="auto"/>
          <w:sz w:val="20"/>
          <w:szCs w:val="20"/>
        </w:rPr>
      </w:pPr>
      <w:r w:rsidRPr="00F316DA">
        <w:rPr>
          <w:color w:val="auto"/>
        </w:rPr>
        <w:br/>
      </w:r>
      <w:r w:rsidR="00DB39CA" w:rsidRPr="00F316DA">
        <w:rPr>
          <w:rFonts w:ascii="Arial" w:eastAsia="Arial" w:hAnsi="Arial" w:cs="Arial"/>
          <w:color w:val="auto"/>
          <w:sz w:val="20"/>
          <w:szCs w:val="20"/>
        </w:rPr>
        <w:t>Godine 2011. 38,0% stanovništva prihode je ostvarivalo od stalnog rada. Prihode od povremenog rada imalo je svega  0,8% stanovnika na području Grada Preloga, dok je njih tek 2,5% prihode ostvarivalo od poljoprivrede.</w:t>
      </w:r>
    </w:p>
    <w:p w:rsidR="00966E43" w:rsidRPr="00F316DA" w:rsidRDefault="00DB39CA" w:rsidP="00EE0255">
      <w:pPr>
        <w:tabs>
          <w:tab w:val="left" w:pos="4014"/>
        </w:tabs>
        <w:spacing w:line="240" w:lineRule="auto"/>
        <w:jc w:val="both"/>
        <w:rPr>
          <w:color w:val="auto"/>
        </w:rPr>
      </w:pPr>
      <w:r w:rsidRPr="00F316DA">
        <w:rPr>
          <w:noProof/>
          <w:color w:val="auto"/>
        </w:rPr>
        <w:drawing>
          <wp:inline distT="0" distB="0" distL="114300" distR="114300">
            <wp:extent cx="3710112" cy="2472856"/>
            <wp:effectExtent l="19050" t="0" r="4638" b="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a:stretch>
                      <a:fillRect/>
                    </a:stretch>
                  </pic:blipFill>
                  <pic:spPr>
                    <a:xfrm>
                      <a:off x="0" y="0"/>
                      <a:ext cx="3715687" cy="2476572"/>
                    </a:xfrm>
                    <a:prstGeom prst="rect">
                      <a:avLst/>
                    </a:prstGeom>
                    <a:ln/>
                  </pic:spPr>
                </pic:pic>
              </a:graphicData>
            </a:graphic>
          </wp:inline>
        </w:drawing>
      </w:r>
    </w:p>
    <w:p w:rsidR="00966E43" w:rsidRPr="00F316DA" w:rsidRDefault="00F3463E" w:rsidP="00EE0255">
      <w:pPr>
        <w:tabs>
          <w:tab w:val="left" w:pos="4014"/>
        </w:tabs>
        <w:spacing w:line="240" w:lineRule="auto"/>
        <w:jc w:val="both"/>
        <w:rPr>
          <w:color w:val="auto"/>
        </w:rPr>
      </w:pPr>
      <w:r>
        <w:rPr>
          <w:rFonts w:ascii="Arial" w:eastAsia="Arial" w:hAnsi="Arial" w:cs="Arial"/>
          <w:color w:val="auto"/>
          <w:sz w:val="20"/>
          <w:szCs w:val="20"/>
        </w:rPr>
        <w:t>Slika 6</w:t>
      </w:r>
      <w:r w:rsidR="00DB39CA" w:rsidRPr="00F316DA">
        <w:rPr>
          <w:rFonts w:ascii="Arial" w:eastAsia="Arial" w:hAnsi="Arial" w:cs="Arial"/>
          <w:color w:val="auto"/>
          <w:sz w:val="20"/>
          <w:szCs w:val="20"/>
        </w:rPr>
        <w:t xml:space="preserve">. Tvrtke na području Grada Preloga s deset i više zaposlenih u 2011. godini  (Izvor: Povijesno-geografska monografija 750 godina Grada Preloga) </w:t>
      </w:r>
    </w:p>
    <w:p w:rsidR="002A17C9" w:rsidRDefault="00DB39CA" w:rsidP="00EE0255">
      <w:pPr>
        <w:tabs>
          <w:tab w:val="left" w:pos="4014"/>
        </w:tabs>
        <w:spacing w:line="240" w:lineRule="auto"/>
        <w:jc w:val="both"/>
        <w:rPr>
          <w:rFonts w:ascii="Arial" w:eastAsia="Arial" w:hAnsi="Arial" w:cs="Arial"/>
          <w:color w:val="auto"/>
          <w:sz w:val="20"/>
          <w:szCs w:val="20"/>
        </w:rPr>
      </w:pPr>
      <w:r w:rsidRPr="00F316DA">
        <w:rPr>
          <w:rFonts w:ascii="Arial" w:eastAsia="Arial" w:hAnsi="Arial" w:cs="Arial"/>
          <w:color w:val="auto"/>
          <w:sz w:val="20"/>
          <w:szCs w:val="20"/>
        </w:rPr>
        <w:t>Kao što je vidljivo iz klasificiranih satelitskih snimaka za 1992., 2001. i 2011. godinu</w:t>
      </w:r>
      <w:r w:rsidR="0038662D" w:rsidRPr="00F316DA">
        <w:rPr>
          <w:rFonts w:ascii="Arial" w:eastAsia="Arial" w:hAnsi="Arial" w:cs="Arial"/>
          <w:color w:val="auto"/>
          <w:sz w:val="20"/>
          <w:szCs w:val="20"/>
        </w:rPr>
        <w:t>,</w:t>
      </w:r>
      <w:r w:rsidRPr="00F316DA">
        <w:rPr>
          <w:rFonts w:ascii="Arial" w:eastAsia="Arial" w:hAnsi="Arial" w:cs="Arial"/>
          <w:color w:val="auto"/>
          <w:sz w:val="20"/>
          <w:szCs w:val="20"/>
        </w:rPr>
        <w:t xml:space="preserve"> klasa izgradnje ima trend rasta što pripisujemo urbanizaciji i industrijalizaciji. U Prelogu je mnoštvo tvrtki koje su zaslužne za taj rast. Iz navedenog prikaza možemo konkretno zaključiti da je najveća tvrtka i tvrtka s najviše zaposlenih HildingAnders s više od 35,0% od ukupnog broja zaposlenih. Slijede ju LPT, Paul Green i Komet, dok su oni s nešto manje od 10,0% od ukupnog broja zaposlenih Nestor, Heplast-Pipe, Econ, Eurobeton i PRE-KOM.</w:t>
      </w:r>
    </w:p>
    <w:p w:rsidR="002A17C9" w:rsidRPr="00F3463E" w:rsidRDefault="002A17C9" w:rsidP="00EE0255">
      <w:pPr>
        <w:tabs>
          <w:tab w:val="left" w:pos="4014"/>
        </w:tabs>
        <w:spacing w:line="240" w:lineRule="auto"/>
        <w:jc w:val="both"/>
        <w:rPr>
          <w:rFonts w:ascii="Arial" w:eastAsia="Arial" w:hAnsi="Arial" w:cs="Arial"/>
          <w:color w:val="auto"/>
          <w:sz w:val="20"/>
          <w:szCs w:val="20"/>
        </w:rPr>
      </w:pPr>
    </w:p>
    <w:p w:rsidR="00966E43" w:rsidRDefault="00DB39CA" w:rsidP="00EE0255">
      <w:pPr>
        <w:numPr>
          <w:ilvl w:val="0"/>
          <w:numId w:val="1"/>
        </w:numPr>
        <w:spacing w:before="240" w:line="240" w:lineRule="auto"/>
        <w:ind w:hanging="360"/>
        <w:contextualSpacing/>
        <w:jc w:val="both"/>
        <w:rPr>
          <w:rFonts w:ascii="Arial" w:eastAsia="Arial" w:hAnsi="Arial" w:cs="Arial"/>
          <w:color w:val="auto"/>
          <w:sz w:val="20"/>
          <w:szCs w:val="20"/>
        </w:rPr>
      </w:pPr>
      <w:r w:rsidRPr="00F316DA">
        <w:rPr>
          <w:rFonts w:ascii="Arial" w:eastAsia="Arial" w:hAnsi="Arial" w:cs="Arial"/>
          <w:color w:val="auto"/>
          <w:sz w:val="20"/>
          <w:szCs w:val="20"/>
        </w:rPr>
        <w:t>ZAKLJUČAK</w:t>
      </w:r>
    </w:p>
    <w:p w:rsidR="00F3463E" w:rsidRPr="00F316DA" w:rsidRDefault="00F3463E" w:rsidP="00F3463E">
      <w:pPr>
        <w:spacing w:before="240" w:line="240" w:lineRule="auto"/>
        <w:ind w:left="720"/>
        <w:contextualSpacing/>
        <w:jc w:val="both"/>
        <w:rPr>
          <w:rFonts w:ascii="Arial" w:eastAsia="Arial" w:hAnsi="Arial" w:cs="Arial"/>
          <w:color w:val="auto"/>
          <w:sz w:val="20"/>
          <w:szCs w:val="20"/>
        </w:rPr>
      </w:pPr>
    </w:p>
    <w:p w:rsidR="00966E43" w:rsidRDefault="00DB39CA" w:rsidP="002A17C9">
      <w:pPr>
        <w:tabs>
          <w:tab w:val="left" w:pos="4014"/>
        </w:tabs>
        <w:spacing w:line="240" w:lineRule="auto"/>
        <w:jc w:val="both"/>
        <w:rPr>
          <w:color w:val="auto"/>
        </w:rPr>
      </w:pPr>
      <w:r w:rsidRPr="00F316DA">
        <w:rPr>
          <w:rFonts w:ascii="Arial" w:eastAsia="Arial" w:hAnsi="Arial" w:cs="Arial"/>
          <w:color w:val="auto"/>
          <w:sz w:val="20"/>
          <w:szCs w:val="20"/>
        </w:rPr>
        <w:t xml:space="preserve">Nakon GIS analize koja je provedena koristeći SAGA GIS program te analizom statističkih podataka može se zaključiti da se u promatranom razdoblju ističe izraziti proces industrijalizacije koji se prvobitno uočava u 2001. godini. </w:t>
      </w:r>
      <w:r w:rsidRPr="00F316DA">
        <w:rPr>
          <w:rFonts w:ascii="Arial" w:eastAsia="Arial" w:hAnsi="Arial" w:cs="Arial"/>
          <w:color w:val="auto"/>
          <w:sz w:val="20"/>
          <w:szCs w:val="20"/>
          <w:highlight w:val="white"/>
        </w:rPr>
        <w:t>Naime, 1992. godine površine u Gradu Prelogu bile su pretežito pod šumama te su na njima bile zasađene poljoprivredne kulture. Takva situacija se postepeno mijenja te je Grad Prelog 2001. godine postao pretežno urbano područje. Međutim</w:t>
      </w:r>
      <w:r w:rsidR="00720E90" w:rsidRPr="00F316DA">
        <w:rPr>
          <w:rFonts w:ascii="Arial" w:eastAsia="Arial" w:hAnsi="Arial" w:cs="Arial"/>
          <w:color w:val="auto"/>
          <w:sz w:val="20"/>
          <w:szCs w:val="20"/>
          <w:highlight w:val="white"/>
        </w:rPr>
        <w:t>, klasa poljoprivrede je</w:t>
      </w:r>
      <w:r w:rsidRPr="00F316DA">
        <w:rPr>
          <w:rFonts w:ascii="Arial" w:eastAsia="Arial" w:hAnsi="Arial" w:cs="Arial"/>
          <w:color w:val="auto"/>
          <w:sz w:val="20"/>
          <w:szCs w:val="20"/>
          <w:highlight w:val="white"/>
        </w:rPr>
        <w:t xml:space="preserve"> 2001. godine i dalje značajno zastupljena.</w:t>
      </w:r>
      <w:r w:rsidRPr="00F316DA">
        <w:rPr>
          <w:rFonts w:ascii="Arial" w:eastAsia="Arial" w:hAnsi="Arial" w:cs="Arial"/>
          <w:color w:val="auto"/>
          <w:sz w:val="20"/>
          <w:szCs w:val="20"/>
        </w:rPr>
        <w:t xml:space="preserve"> Naravno taj trend se </w:t>
      </w:r>
      <w:r w:rsidR="00720E90" w:rsidRPr="00F316DA">
        <w:rPr>
          <w:rFonts w:ascii="Arial" w:eastAsia="Arial" w:hAnsi="Arial" w:cs="Arial"/>
          <w:color w:val="auto"/>
          <w:sz w:val="20"/>
          <w:szCs w:val="20"/>
        </w:rPr>
        <w:t>nastavio i u 2011. godini. Klase</w:t>
      </w:r>
      <w:r w:rsidRPr="00F316DA">
        <w:rPr>
          <w:rFonts w:ascii="Arial" w:eastAsia="Arial" w:hAnsi="Arial" w:cs="Arial"/>
          <w:color w:val="auto"/>
          <w:sz w:val="20"/>
          <w:szCs w:val="20"/>
        </w:rPr>
        <w:t xml:space="preserve"> izgradnje i poljoprivrede postupno su se povećavale i to na račun šuma, </w:t>
      </w:r>
      <w:r w:rsidR="00720E90" w:rsidRPr="00F316DA">
        <w:rPr>
          <w:rFonts w:ascii="Arial" w:eastAsia="Arial" w:hAnsi="Arial" w:cs="Arial"/>
          <w:color w:val="auto"/>
          <w:sz w:val="20"/>
          <w:szCs w:val="20"/>
        </w:rPr>
        <w:t>stoga</w:t>
      </w:r>
      <w:r w:rsidRPr="00F316DA">
        <w:rPr>
          <w:rFonts w:ascii="Arial" w:eastAsia="Arial" w:hAnsi="Arial" w:cs="Arial"/>
          <w:color w:val="auto"/>
          <w:sz w:val="20"/>
          <w:szCs w:val="20"/>
        </w:rPr>
        <w:t xml:space="preserve"> možemo govoriti o krčenju šuma, tj. deforestaciji na području Grada Preloga. Usporedno tome</w:t>
      </w:r>
      <w:r w:rsidR="00720E90" w:rsidRPr="00F316DA">
        <w:rPr>
          <w:rFonts w:ascii="Arial" w:eastAsia="Arial" w:hAnsi="Arial" w:cs="Arial"/>
          <w:color w:val="auto"/>
          <w:sz w:val="20"/>
          <w:szCs w:val="20"/>
        </w:rPr>
        <w:t>,</w:t>
      </w:r>
      <w:r w:rsidRPr="00F316DA">
        <w:rPr>
          <w:rFonts w:ascii="Arial" w:eastAsia="Arial" w:hAnsi="Arial" w:cs="Arial"/>
          <w:color w:val="auto"/>
          <w:sz w:val="20"/>
          <w:szCs w:val="20"/>
        </w:rPr>
        <w:t xml:space="preserve"> promatrali smo i promjene u broju i strukturi stanovništva. Iako se popis stanovništva 1991. godine ne može u potpunosti usporediti s onima 2001. i 2011. godine</w:t>
      </w:r>
      <w:r w:rsidR="00720E90" w:rsidRPr="00F316DA">
        <w:rPr>
          <w:rFonts w:ascii="Arial" w:eastAsia="Arial" w:hAnsi="Arial" w:cs="Arial"/>
          <w:color w:val="auto"/>
          <w:sz w:val="20"/>
          <w:szCs w:val="20"/>
        </w:rPr>
        <w:t>,</w:t>
      </w:r>
      <w:r w:rsidRPr="00F316DA">
        <w:rPr>
          <w:rFonts w:ascii="Arial" w:eastAsia="Arial" w:hAnsi="Arial" w:cs="Arial"/>
          <w:color w:val="auto"/>
          <w:sz w:val="20"/>
          <w:szCs w:val="20"/>
        </w:rPr>
        <w:t xml:space="preserve"> uspjeli smo zaključiti da je </w:t>
      </w:r>
      <w:r w:rsidRPr="00F316DA">
        <w:rPr>
          <w:rFonts w:ascii="Arial" w:eastAsia="Arial" w:hAnsi="Arial" w:cs="Arial"/>
          <w:color w:val="auto"/>
          <w:sz w:val="20"/>
          <w:szCs w:val="20"/>
          <w:highlight w:val="white"/>
        </w:rPr>
        <w:t xml:space="preserve">da je 1991. godine velik udio stanovništva bio zaposlen u industriji, ali još uvijek i u primarnim djelatnostima. Premda u industrijskoj zoni nije bio izgrađen velik broj tvornica te nije zauzimala veliku površinu, udio zaposlenih u industriji bio je značajan.U tom razdoblju ne možemo </w:t>
      </w:r>
      <w:r w:rsidRPr="00F316DA">
        <w:rPr>
          <w:rFonts w:ascii="Arial" w:eastAsia="Arial" w:hAnsi="Arial" w:cs="Arial"/>
          <w:color w:val="auto"/>
          <w:sz w:val="20"/>
          <w:szCs w:val="20"/>
          <w:highlight w:val="white"/>
        </w:rPr>
        <w:lastRenderedPageBreak/>
        <w:t>govoriti o modernoj</w:t>
      </w:r>
      <w:r w:rsidR="00720E90" w:rsidRPr="00F316DA">
        <w:rPr>
          <w:rFonts w:ascii="Arial" w:eastAsia="Arial" w:hAnsi="Arial" w:cs="Arial"/>
          <w:color w:val="auto"/>
          <w:sz w:val="20"/>
          <w:szCs w:val="20"/>
          <w:highlight w:val="white"/>
        </w:rPr>
        <w:t>,</w:t>
      </w:r>
      <w:r w:rsidRPr="00F316DA">
        <w:rPr>
          <w:rFonts w:ascii="Arial" w:eastAsia="Arial" w:hAnsi="Arial" w:cs="Arial"/>
          <w:color w:val="auto"/>
          <w:sz w:val="20"/>
          <w:szCs w:val="20"/>
          <w:highlight w:val="white"/>
        </w:rPr>
        <w:t xml:space="preserve"> već o zastarjeloj industriji.</w:t>
      </w:r>
      <w:r w:rsidRPr="00F316DA">
        <w:rPr>
          <w:rFonts w:ascii="Arial" w:eastAsia="Arial" w:hAnsi="Arial" w:cs="Arial"/>
          <w:color w:val="auto"/>
          <w:sz w:val="20"/>
          <w:szCs w:val="20"/>
        </w:rPr>
        <w:t xml:space="preserve">Pojedinci koji su bili zaposleni u industriji izrazito aktivno bavili </w:t>
      </w:r>
      <w:r w:rsidR="00720E90" w:rsidRPr="00F316DA">
        <w:rPr>
          <w:rFonts w:ascii="Arial" w:eastAsia="Arial" w:hAnsi="Arial" w:cs="Arial"/>
          <w:color w:val="auto"/>
          <w:sz w:val="20"/>
          <w:szCs w:val="20"/>
        </w:rPr>
        <w:t xml:space="preserve">su se i </w:t>
      </w:r>
      <w:r w:rsidRPr="00F316DA">
        <w:rPr>
          <w:rFonts w:ascii="Arial" w:eastAsia="Arial" w:hAnsi="Arial" w:cs="Arial"/>
          <w:color w:val="auto"/>
          <w:sz w:val="20"/>
          <w:szCs w:val="20"/>
        </w:rPr>
        <w:t>poljoprivrednom</w:t>
      </w:r>
      <w:r w:rsidR="00720E90" w:rsidRPr="00F316DA">
        <w:rPr>
          <w:rFonts w:ascii="Arial" w:eastAsia="Arial" w:hAnsi="Arial" w:cs="Arial"/>
          <w:color w:val="auto"/>
          <w:sz w:val="20"/>
          <w:szCs w:val="20"/>
        </w:rPr>
        <w:t xml:space="preserve">, ali ne na velikim površinama. </w:t>
      </w:r>
      <w:r w:rsidRPr="00F316DA">
        <w:rPr>
          <w:rFonts w:ascii="Arial" w:eastAsia="Arial" w:hAnsi="Arial" w:cs="Arial"/>
          <w:color w:val="auto"/>
          <w:sz w:val="20"/>
          <w:szCs w:val="20"/>
        </w:rPr>
        <w:t xml:space="preserve">Zbog toga 1992. godine nije zabilježeno povećanje u klasi poljoprivrednog zemljišta niti u klasi izgradnje. To nije slučaj za 2001. godinu u kojoj vidimo izrazito povećanje klase izgradnje kao i klase poljoprivrednog zemljišta. Prostorno širenje Grada Preloga možemo pripisati otvorenju nove stambene zone na jugu grada koja je direktno prouzročila otvaranje novih trgovačkih centara, škole i samo uređenje grada. Stanovnici su se još uvijek bavili poljoprivredom čak i većim intenzitetom nego početkom 90.-ih godina 20. st. To je zapravo </w:t>
      </w:r>
      <w:r w:rsidR="00720E90" w:rsidRPr="00F316DA">
        <w:rPr>
          <w:rFonts w:ascii="Arial" w:eastAsia="Arial" w:hAnsi="Arial" w:cs="Arial"/>
          <w:color w:val="auto"/>
          <w:sz w:val="20"/>
          <w:szCs w:val="20"/>
        </w:rPr>
        <w:t>izravan</w:t>
      </w:r>
      <w:r w:rsidRPr="00F316DA">
        <w:rPr>
          <w:rFonts w:ascii="Arial" w:eastAsia="Arial" w:hAnsi="Arial" w:cs="Arial"/>
          <w:color w:val="auto"/>
          <w:sz w:val="20"/>
          <w:szCs w:val="20"/>
        </w:rPr>
        <w:t xml:space="preserve"> uzrok širenja klase poljoprivrednog područja. U 2011. godini nastavlja se trend povećanja izgradnje i poljoprivrednog područja. Otvaraju se tvornice unutar industrijskih zona. Tom rastu grada, odnosno urbanizaciji i industrijalizaciji, najviše su doprinijele  najveće tvrtke među kojima </w:t>
      </w:r>
      <w:r w:rsidR="00720E90" w:rsidRPr="00F316DA">
        <w:rPr>
          <w:rFonts w:ascii="Arial" w:eastAsia="Arial" w:hAnsi="Arial" w:cs="Arial"/>
          <w:color w:val="auto"/>
          <w:sz w:val="20"/>
          <w:szCs w:val="20"/>
        </w:rPr>
        <w:t xml:space="preserve">je </w:t>
      </w:r>
      <w:r w:rsidRPr="00F316DA">
        <w:rPr>
          <w:rFonts w:ascii="Arial" w:eastAsia="Arial" w:hAnsi="Arial" w:cs="Arial"/>
          <w:color w:val="auto"/>
          <w:sz w:val="20"/>
          <w:szCs w:val="20"/>
        </w:rPr>
        <w:t>na prvom mjestu HildingAnders. Prema popisu</w:t>
      </w:r>
      <w:r w:rsidR="00720E90" w:rsidRPr="00F316DA">
        <w:rPr>
          <w:rFonts w:ascii="Arial" w:eastAsia="Arial" w:hAnsi="Arial" w:cs="Arial"/>
          <w:color w:val="auto"/>
          <w:sz w:val="20"/>
          <w:szCs w:val="20"/>
        </w:rPr>
        <w:t xml:space="preserve"> stanovništva</w:t>
      </w:r>
      <w:r w:rsidRPr="00F316DA">
        <w:rPr>
          <w:rFonts w:ascii="Arial" w:eastAsia="Arial" w:hAnsi="Arial" w:cs="Arial"/>
          <w:color w:val="auto"/>
          <w:sz w:val="20"/>
          <w:szCs w:val="20"/>
        </w:rPr>
        <w:t xml:space="preserve"> 2011. godine udio zaposlenih u industriji se povećao, a udio poljoprivrednog stanovništva se smanjio. Povećanje klase poljoprivrednog zemljišta možemo objasniti tako da manji broj ljudi glavne prihode ostvaruje od poljoprivrede, ali na većim zemljištima.</w:t>
      </w:r>
      <w:r w:rsidR="00F316DA" w:rsidRPr="00F316DA">
        <w:rPr>
          <w:rFonts w:ascii="Arial" w:eastAsia="Arial" w:hAnsi="Arial" w:cs="Arial"/>
          <w:color w:val="auto"/>
          <w:sz w:val="20"/>
          <w:szCs w:val="20"/>
        </w:rPr>
        <w:t xml:space="preserve"> Godine 1991. u Gradu Prelogu živjelo je 3292 stanovnika i taj broj je narastao na 3486 stanovnika 2001. godine. Godine 2011. broj stanovnika pao je na 3101.</w:t>
      </w:r>
      <w:r w:rsidRPr="00F316DA">
        <w:rPr>
          <w:rFonts w:ascii="Arial" w:eastAsia="Arial" w:hAnsi="Arial" w:cs="Arial"/>
          <w:color w:val="auto"/>
          <w:sz w:val="20"/>
          <w:szCs w:val="20"/>
        </w:rPr>
        <w:t xml:space="preserve"> Od 1991. do 2011.</w:t>
      </w:r>
      <w:r w:rsidR="00720E90" w:rsidRPr="00F316DA">
        <w:rPr>
          <w:rFonts w:ascii="Arial" w:eastAsia="Arial" w:hAnsi="Arial" w:cs="Arial"/>
          <w:color w:val="auto"/>
          <w:sz w:val="20"/>
          <w:szCs w:val="20"/>
        </w:rPr>
        <w:t xml:space="preserve"> godine</w:t>
      </w:r>
      <w:r w:rsidRPr="00F316DA">
        <w:rPr>
          <w:rFonts w:ascii="Arial" w:eastAsia="Arial" w:hAnsi="Arial" w:cs="Arial"/>
          <w:color w:val="auto"/>
          <w:sz w:val="20"/>
          <w:szCs w:val="20"/>
        </w:rPr>
        <w:t xml:space="preserve"> broj stanovnika Grada Preloga nije se pretjerano mijenjao, a to možemo objasniti tako da je stanovništvo dobro pratilo promjene te one nisu utjecale na iseljavanje ili useljavanje stanovništva. Našu pretpostavku da će udio zaposlenih u industriji u sve tri godine biti veći nego udio poljoprivrednog stanovništva možemo potvrditi, dok pretpostavku da će Grad Prelog u sve tri promatrane godine biti pretežito poljoprivredno područje</w:t>
      </w:r>
      <w:r w:rsidR="00720E90" w:rsidRPr="00F316DA">
        <w:rPr>
          <w:rFonts w:ascii="Arial" w:eastAsia="Arial" w:hAnsi="Arial" w:cs="Arial"/>
          <w:color w:val="auto"/>
          <w:sz w:val="20"/>
          <w:szCs w:val="20"/>
        </w:rPr>
        <w:t>,</w:t>
      </w:r>
      <w:r w:rsidRPr="00F316DA">
        <w:rPr>
          <w:rFonts w:ascii="Arial" w:eastAsia="Arial" w:hAnsi="Arial" w:cs="Arial"/>
          <w:color w:val="auto"/>
          <w:sz w:val="20"/>
          <w:szCs w:val="20"/>
        </w:rPr>
        <w:t xml:space="preserve"> moramo odbaciti jer za sve tri promatrane godine neka druga klasa ima veći postotak zastupljenosti</w:t>
      </w:r>
      <w:r w:rsidR="00720E90" w:rsidRPr="00F316DA">
        <w:rPr>
          <w:rFonts w:ascii="Arial" w:eastAsia="Arial" w:hAnsi="Arial" w:cs="Arial"/>
          <w:color w:val="auto"/>
          <w:sz w:val="20"/>
          <w:szCs w:val="20"/>
        </w:rPr>
        <w:t>,</w:t>
      </w:r>
      <w:r w:rsidRPr="00F316DA">
        <w:rPr>
          <w:rFonts w:ascii="Arial" w:eastAsia="Arial" w:hAnsi="Arial" w:cs="Arial"/>
          <w:color w:val="auto"/>
          <w:sz w:val="20"/>
          <w:szCs w:val="20"/>
        </w:rPr>
        <w:t xml:space="preserve"> nego klasa poljoprivrednog zemljišta. Prema provedenome istraživanju utvrđeno je da stanovništvo Grada Preloga nije sasvim napustilo poljoprivredu kao djelatnost, no većini kućanstava poljoprivreda više nije primarni izvor prihoda već dodatna djelatnost.</w:t>
      </w:r>
    </w:p>
    <w:p w:rsidR="002A17C9" w:rsidRPr="00F316DA" w:rsidRDefault="002A17C9" w:rsidP="002A17C9">
      <w:pPr>
        <w:tabs>
          <w:tab w:val="left" w:pos="4014"/>
        </w:tabs>
        <w:spacing w:line="240" w:lineRule="auto"/>
        <w:jc w:val="both"/>
        <w:rPr>
          <w:color w:val="auto"/>
        </w:rPr>
      </w:pPr>
    </w:p>
    <w:p w:rsidR="00966E43" w:rsidRPr="00F316DA" w:rsidRDefault="00DB39CA" w:rsidP="00EE0255">
      <w:pPr>
        <w:numPr>
          <w:ilvl w:val="0"/>
          <w:numId w:val="1"/>
        </w:numPr>
        <w:spacing w:line="240" w:lineRule="auto"/>
        <w:ind w:hanging="360"/>
        <w:contextualSpacing/>
        <w:jc w:val="both"/>
        <w:rPr>
          <w:rFonts w:ascii="Arial" w:eastAsia="Arial" w:hAnsi="Arial" w:cs="Arial"/>
          <w:color w:val="auto"/>
          <w:sz w:val="20"/>
          <w:szCs w:val="20"/>
        </w:rPr>
      </w:pPr>
      <w:r w:rsidRPr="00F316DA">
        <w:rPr>
          <w:rFonts w:ascii="Arial" w:eastAsia="Arial" w:hAnsi="Arial" w:cs="Arial"/>
          <w:color w:val="auto"/>
          <w:sz w:val="20"/>
          <w:szCs w:val="20"/>
        </w:rPr>
        <w:t>LITERATURA</w:t>
      </w:r>
    </w:p>
    <w:p w:rsidR="00720E90" w:rsidRPr="00F316DA" w:rsidRDefault="00720E90" w:rsidP="00EE0255">
      <w:pPr>
        <w:spacing w:line="240" w:lineRule="auto"/>
        <w:ind w:left="720"/>
        <w:contextualSpacing/>
        <w:jc w:val="both"/>
        <w:rPr>
          <w:rFonts w:ascii="Arial" w:eastAsia="Arial" w:hAnsi="Arial" w:cs="Arial"/>
          <w:color w:val="auto"/>
          <w:sz w:val="20"/>
          <w:szCs w:val="20"/>
        </w:rPr>
      </w:pPr>
    </w:p>
    <w:p w:rsidR="00966E43" w:rsidRPr="00F316DA" w:rsidRDefault="00DB39CA" w:rsidP="00F316DA">
      <w:pPr>
        <w:tabs>
          <w:tab w:val="left" w:pos="4014"/>
        </w:tabs>
        <w:spacing w:line="240" w:lineRule="auto"/>
        <w:ind w:left="720"/>
        <w:rPr>
          <w:color w:val="auto"/>
        </w:rPr>
      </w:pPr>
      <w:r w:rsidRPr="00F316DA">
        <w:rPr>
          <w:rFonts w:ascii="Arial" w:eastAsia="Arial" w:hAnsi="Arial" w:cs="Arial"/>
          <w:color w:val="auto"/>
          <w:sz w:val="20"/>
          <w:szCs w:val="20"/>
        </w:rPr>
        <w:t>1. Popisi stanovništva za 1991., 2001. i 2011. godine;</w:t>
      </w:r>
      <w:r w:rsidR="00F316DA" w:rsidRPr="00F316DA">
        <w:rPr>
          <w:color w:val="auto"/>
        </w:rPr>
        <w:br/>
      </w:r>
      <w:r w:rsidRPr="00F316DA">
        <w:rPr>
          <w:rFonts w:ascii="Arial" w:eastAsia="Arial" w:hAnsi="Arial" w:cs="Arial"/>
          <w:color w:val="auto"/>
          <w:sz w:val="20"/>
          <w:szCs w:val="20"/>
        </w:rPr>
        <w:t>2. Dragutin Feletar, 1995., Geografska osnovica, stanovništvo i gospodarstvo Općine Prelog, Prelog 1264.-1994., Prelog, 40-41</w:t>
      </w:r>
      <w:r w:rsidR="00F316DA" w:rsidRPr="00F316DA">
        <w:rPr>
          <w:color w:val="auto"/>
        </w:rPr>
        <w:br/>
      </w:r>
      <w:r w:rsidRPr="00F316DA">
        <w:rPr>
          <w:rFonts w:ascii="Arial" w:eastAsia="Arial" w:hAnsi="Arial" w:cs="Arial"/>
          <w:color w:val="auto"/>
          <w:sz w:val="20"/>
          <w:szCs w:val="20"/>
        </w:rPr>
        <w:t>3. Popis poljoprivrede u Hrvatskoj 2003., Državni statistički zavod, Zagreb, 2005.</w:t>
      </w:r>
      <w:r w:rsidR="00F316DA" w:rsidRPr="00F316DA">
        <w:rPr>
          <w:color w:val="auto"/>
        </w:rPr>
        <w:br/>
      </w:r>
      <w:r w:rsidRPr="00F316DA">
        <w:rPr>
          <w:rFonts w:ascii="Arial" w:eastAsia="Arial" w:hAnsi="Arial" w:cs="Arial"/>
          <w:color w:val="auto"/>
          <w:sz w:val="20"/>
          <w:szCs w:val="20"/>
        </w:rPr>
        <w:t>4. Juraj Lajtman, 1994., Pregled podataka o Županiji međimurskoj, Čakovec; Popis poljoprivrede 2003.</w:t>
      </w:r>
      <w:r w:rsidR="00F316DA" w:rsidRPr="00F316DA">
        <w:rPr>
          <w:color w:val="auto"/>
        </w:rPr>
        <w:br/>
      </w:r>
      <w:r w:rsidRPr="00F316DA">
        <w:rPr>
          <w:color w:val="auto"/>
        </w:rPr>
        <w:t xml:space="preserve">5. </w:t>
      </w:r>
      <w:r w:rsidRPr="00F316DA">
        <w:rPr>
          <w:rFonts w:ascii="Arial" w:eastAsia="Arial" w:hAnsi="Arial" w:cs="Arial"/>
          <w:color w:val="auto"/>
          <w:sz w:val="20"/>
          <w:szCs w:val="20"/>
          <w:u w:val="single"/>
        </w:rPr>
        <w:t>www.earhesplorer.com</w:t>
      </w:r>
      <w:hyperlink r:id="rId16"/>
      <w:r w:rsidR="00F316DA" w:rsidRPr="00F316DA">
        <w:rPr>
          <w:color w:val="auto"/>
        </w:rPr>
        <w:br/>
      </w:r>
      <w:r w:rsidRPr="00F316DA">
        <w:rPr>
          <w:color w:val="auto"/>
        </w:rPr>
        <w:t xml:space="preserve">6. </w:t>
      </w:r>
      <w:hyperlink r:id="rId17">
        <w:r w:rsidRPr="00F316DA">
          <w:rPr>
            <w:rFonts w:ascii="Arial" w:eastAsia="Arial" w:hAnsi="Arial" w:cs="Arial"/>
            <w:color w:val="auto"/>
            <w:sz w:val="20"/>
            <w:szCs w:val="20"/>
            <w:u w:val="single"/>
          </w:rPr>
          <w:t>www.qgis.hr</w:t>
        </w:r>
      </w:hyperlink>
      <w:hyperlink r:id="rId18"/>
      <w:r w:rsidR="00F316DA" w:rsidRPr="00F316DA">
        <w:rPr>
          <w:color w:val="auto"/>
        </w:rPr>
        <w:br/>
      </w:r>
      <w:r w:rsidRPr="00F316DA">
        <w:rPr>
          <w:rFonts w:ascii="Arial" w:eastAsia="Arial" w:hAnsi="Arial" w:cs="Arial"/>
          <w:color w:val="auto"/>
          <w:sz w:val="20"/>
          <w:szCs w:val="20"/>
        </w:rPr>
        <w:t>7. www. sagagis.org</w:t>
      </w:r>
    </w:p>
    <w:p w:rsidR="00966E43" w:rsidRDefault="00966E43">
      <w:pPr>
        <w:spacing w:line="360" w:lineRule="auto"/>
        <w:ind w:left="720"/>
        <w:jc w:val="both"/>
      </w:pPr>
    </w:p>
    <w:p w:rsidR="00966E43" w:rsidRDefault="00966E43" w:rsidP="00C34CED">
      <w:pPr>
        <w:spacing w:line="360" w:lineRule="auto"/>
        <w:jc w:val="both"/>
      </w:pPr>
      <w:bookmarkStart w:id="1" w:name="_GoBack"/>
      <w:bookmarkEnd w:id="1"/>
    </w:p>
    <w:sectPr w:rsidR="00966E43" w:rsidSect="00DF444A">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F24FD"/>
    <w:multiLevelType w:val="multilevel"/>
    <w:tmpl w:val="61B4B7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3"/>
    <w:rsid w:val="000A403C"/>
    <w:rsid w:val="000E44B5"/>
    <w:rsid w:val="00187A97"/>
    <w:rsid w:val="001904DF"/>
    <w:rsid w:val="0021691A"/>
    <w:rsid w:val="00247A94"/>
    <w:rsid w:val="002703E4"/>
    <w:rsid w:val="002A17C9"/>
    <w:rsid w:val="0038662D"/>
    <w:rsid w:val="00420E67"/>
    <w:rsid w:val="00452F7F"/>
    <w:rsid w:val="00491244"/>
    <w:rsid w:val="00524EF1"/>
    <w:rsid w:val="00651695"/>
    <w:rsid w:val="006906E0"/>
    <w:rsid w:val="00720E90"/>
    <w:rsid w:val="007A3D33"/>
    <w:rsid w:val="00840ECF"/>
    <w:rsid w:val="00874604"/>
    <w:rsid w:val="008A3D02"/>
    <w:rsid w:val="008E7304"/>
    <w:rsid w:val="00923022"/>
    <w:rsid w:val="00966E43"/>
    <w:rsid w:val="009977B8"/>
    <w:rsid w:val="00A02C94"/>
    <w:rsid w:val="00A75D99"/>
    <w:rsid w:val="00BF034F"/>
    <w:rsid w:val="00C00947"/>
    <w:rsid w:val="00C115B8"/>
    <w:rsid w:val="00C34CED"/>
    <w:rsid w:val="00C66106"/>
    <w:rsid w:val="00CD03AB"/>
    <w:rsid w:val="00DA0F8F"/>
    <w:rsid w:val="00DB39CA"/>
    <w:rsid w:val="00DF444A"/>
    <w:rsid w:val="00E20B02"/>
    <w:rsid w:val="00EE0255"/>
    <w:rsid w:val="00F316DA"/>
    <w:rsid w:val="00F346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253C7-DFB4-4453-9B16-1FD0A3E8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444A"/>
  </w:style>
  <w:style w:type="paragraph" w:styleId="Naslov1">
    <w:name w:val="heading 1"/>
    <w:basedOn w:val="Normal"/>
    <w:next w:val="Normal"/>
    <w:rsid w:val="00DF444A"/>
    <w:pPr>
      <w:keepNext/>
      <w:keepLines/>
      <w:spacing w:before="480" w:after="120"/>
      <w:contextualSpacing/>
      <w:outlineLvl w:val="0"/>
    </w:pPr>
    <w:rPr>
      <w:b/>
      <w:sz w:val="48"/>
      <w:szCs w:val="48"/>
    </w:rPr>
  </w:style>
  <w:style w:type="paragraph" w:styleId="Naslov2">
    <w:name w:val="heading 2"/>
    <w:basedOn w:val="Normal"/>
    <w:next w:val="Normal"/>
    <w:rsid w:val="00DF444A"/>
    <w:pPr>
      <w:keepNext/>
      <w:keepLines/>
      <w:spacing w:before="360" w:after="80"/>
      <w:contextualSpacing/>
      <w:outlineLvl w:val="1"/>
    </w:pPr>
    <w:rPr>
      <w:b/>
      <w:sz w:val="36"/>
      <w:szCs w:val="36"/>
    </w:rPr>
  </w:style>
  <w:style w:type="paragraph" w:styleId="Naslov3">
    <w:name w:val="heading 3"/>
    <w:basedOn w:val="Normal"/>
    <w:next w:val="Normal"/>
    <w:rsid w:val="00DF444A"/>
    <w:pPr>
      <w:keepNext/>
      <w:keepLines/>
      <w:spacing w:before="280" w:after="80"/>
      <w:contextualSpacing/>
      <w:outlineLvl w:val="2"/>
    </w:pPr>
    <w:rPr>
      <w:b/>
      <w:sz w:val="28"/>
      <w:szCs w:val="28"/>
    </w:rPr>
  </w:style>
  <w:style w:type="paragraph" w:styleId="Naslov4">
    <w:name w:val="heading 4"/>
    <w:basedOn w:val="Normal"/>
    <w:next w:val="Normal"/>
    <w:rsid w:val="00DF444A"/>
    <w:pPr>
      <w:keepNext/>
      <w:keepLines/>
      <w:spacing w:before="240" w:after="40"/>
      <w:contextualSpacing/>
      <w:outlineLvl w:val="3"/>
    </w:pPr>
    <w:rPr>
      <w:b/>
      <w:sz w:val="24"/>
      <w:szCs w:val="24"/>
    </w:rPr>
  </w:style>
  <w:style w:type="paragraph" w:styleId="Naslov5">
    <w:name w:val="heading 5"/>
    <w:basedOn w:val="Normal"/>
    <w:next w:val="Normal"/>
    <w:rsid w:val="00DF444A"/>
    <w:pPr>
      <w:keepNext/>
      <w:keepLines/>
      <w:spacing w:before="220" w:after="40"/>
      <w:contextualSpacing/>
      <w:outlineLvl w:val="4"/>
    </w:pPr>
    <w:rPr>
      <w:b/>
    </w:rPr>
  </w:style>
  <w:style w:type="paragraph" w:styleId="Naslov6">
    <w:name w:val="heading 6"/>
    <w:basedOn w:val="Normal"/>
    <w:next w:val="Normal"/>
    <w:rsid w:val="00DF444A"/>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rsid w:val="00DF444A"/>
    <w:pPr>
      <w:keepNext/>
      <w:keepLines/>
      <w:spacing w:before="480" w:after="120"/>
      <w:contextualSpacing/>
    </w:pPr>
    <w:rPr>
      <w:b/>
      <w:sz w:val="72"/>
      <w:szCs w:val="72"/>
    </w:rPr>
  </w:style>
  <w:style w:type="paragraph" w:styleId="Podnaslov">
    <w:name w:val="Subtitle"/>
    <w:basedOn w:val="Normal"/>
    <w:next w:val="Normal"/>
    <w:rsid w:val="00DF444A"/>
    <w:pPr>
      <w:keepNext/>
      <w:keepLines/>
      <w:spacing w:before="360" w:after="80"/>
      <w:contextualSpacing/>
    </w:pPr>
    <w:rPr>
      <w:rFonts w:ascii="Georgia" w:eastAsia="Georgia" w:hAnsi="Georgia" w:cs="Georgia"/>
      <w:i/>
      <w:color w:val="666666"/>
      <w:sz w:val="48"/>
      <w:szCs w:val="48"/>
    </w:rPr>
  </w:style>
  <w:style w:type="table" w:customStyle="1" w:styleId="a">
    <w:basedOn w:val="Obinatablica"/>
    <w:rsid w:val="00DF444A"/>
    <w:tblPr>
      <w:tblStyleRowBandSize w:val="1"/>
      <w:tblStyleColBandSize w:val="1"/>
      <w:tblInd w:w="0" w:type="dxa"/>
      <w:tblCellMar>
        <w:top w:w="0" w:type="dxa"/>
        <w:left w:w="108" w:type="dxa"/>
        <w:bottom w:w="0" w:type="dxa"/>
        <w:right w:w="108" w:type="dxa"/>
      </w:tblCellMar>
    </w:tblPr>
  </w:style>
  <w:style w:type="table" w:customStyle="1" w:styleId="a0">
    <w:basedOn w:val="Obinatablica"/>
    <w:rsid w:val="00DF444A"/>
    <w:tblPr>
      <w:tblStyleRowBandSize w:val="1"/>
      <w:tblStyleColBandSize w:val="1"/>
      <w:tblInd w:w="0" w:type="dxa"/>
      <w:tblCellMar>
        <w:top w:w="0" w:type="dxa"/>
        <w:left w:w="108" w:type="dxa"/>
        <w:bottom w:w="0" w:type="dxa"/>
        <w:right w:w="108" w:type="dxa"/>
      </w:tblCellMar>
    </w:tblPr>
  </w:style>
  <w:style w:type="table" w:customStyle="1" w:styleId="a1">
    <w:basedOn w:val="Obinatablica"/>
    <w:rsid w:val="00DF444A"/>
    <w:tblPr>
      <w:tblStyleRowBandSize w:val="1"/>
      <w:tblStyleColBandSize w:val="1"/>
      <w:tblInd w:w="0" w:type="dxa"/>
      <w:tblCellMar>
        <w:top w:w="0" w:type="dxa"/>
        <w:left w:w="108" w:type="dxa"/>
        <w:bottom w:w="0" w:type="dxa"/>
        <w:right w:w="108" w:type="dxa"/>
      </w:tblCellMar>
    </w:tblPr>
  </w:style>
  <w:style w:type="paragraph" w:styleId="Tekstkomentara">
    <w:name w:val="annotation text"/>
    <w:basedOn w:val="Normal"/>
    <w:link w:val="TekstkomentaraChar"/>
    <w:uiPriority w:val="99"/>
    <w:semiHidden/>
    <w:unhideWhenUsed/>
    <w:rsid w:val="00DF444A"/>
    <w:pPr>
      <w:spacing w:line="240" w:lineRule="auto"/>
    </w:pPr>
    <w:rPr>
      <w:sz w:val="20"/>
      <w:szCs w:val="20"/>
    </w:rPr>
  </w:style>
  <w:style w:type="character" w:customStyle="1" w:styleId="TekstkomentaraChar">
    <w:name w:val="Tekst komentara Char"/>
    <w:basedOn w:val="Zadanifontodlomka"/>
    <w:link w:val="Tekstkomentara"/>
    <w:uiPriority w:val="99"/>
    <w:semiHidden/>
    <w:rsid w:val="00DF444A"/>
    <w:rPr>
      <w:sz w:val="20"/>
      <w:szCs w:val="20"/>
    </w:rPr>
  </w:style>
  <w:style w:type="character" w:styleId="Referencakomentara">
    <w:name w:val="annotation reference"/>
    <w:basedOn w:val="Zadanifontodlomka"/>
    <w:uiPriority w:val="99"/>
    <w:semiHidden/>
    <w:unhideWhenUsed/>
    <w:rsid w:val="00DF444A"/>
    <w:rPr>
      <w:sz w:val="16"/>
      <w:szCs w:val="16"/>
    </w:rPr>
  </w:style>
  <w:style w:type="paragraph" w:styleId="Tekstbalonia">
    <w:name w:val="Balloon Text"/>
    <w:basedOn w:val="Normal"/>
    <w:link w:val="TekstbaloniaChar"/>
    <w:uiPriority w:val="99"/>
    <w:semiHidden/>
    <w:unhideWhenUsed/>
    <w:rsid w:val="00DB39C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B39CA"/>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0E44B5"/>
    <w:rPr>
      <w:b/>
      <w:bCs/>
    </w:rPr>
  </w:style>
  <w:style w:type="character" w:customStyle="1" w:styleId="PredmetkomentaraChar">
    <w:name w:val="Predmet komentara Char"/>
    <w:basedOn w:val="TekstkomentaraChar"/>
    <w:link w:val="Predmetkomentara"/>
    <w:uiPriority w:val="99"/>
    <w:semiHidden/>
    <w:rsid w:val="000E4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qgis.h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qgis.hr" TargetMode="External"/><Relationship Id="rId2" Type="http://schemas.openxmlformats.org/officeDocument/2006/relationships/numbering" Target="numbering.xml"/><Relationship Id="rId16" Type="http://schemas.openxmlformats.org/officeDocument/2006/relationships/hyperlink" Target="http://www.earhesplor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EFA9-9598-455F-82A2-AEA8FAFA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2273</Words>
  <Characters>12960</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Korisnik</cp:lastModifiedBy>
  <cp:revision>3</cp:revision>
  <dcterms:created xsi:type="dcterms:W3CDTF">2016-05-07T18:57:00Z</dcterms:created>
  <dcterms:modified xsi:type="dcterms:W3CDTF">2016-05-07T18:59:00Z</dcterms:modified>
</cp:coreProperties>
</file>