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76F8" w14:textId="77777777" w:rsidR="00457C7B" w:rsidRPr="007A2555" w:rsidRDefault="00457C7B" w:rsidP="00457C7B">
      <w:pPr>
        <w:jc w:val="center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Utoka</w:t>
      </w:r>
    </w:p>
    <w:p w14:paraId="74F1E1A1" w14:textId="77777777" w:rsidR="00457C7B" w:rsidRPr="007A2555" w:rsidRDefault="00457C7B" w:rsidP="00457C7B">
      <w:pPr>
        <w:jc w:val="center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 xml:space="preserve">Dijana </w:t>
      </w:r>
      <w:proofErr w:type="spellStart"/>
      <w:r w:rsidRPr="007A2555">
        <w:rPr>
          <w:rFonts w:ascii="Arial" w:hAnsi="Arial" w:cs="Arial"/>
          <w:sz w:val="20"/>
          <w:szCs w:val="20"/>
        </w:rPr>
        <w:t>Aličić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, Klaudija </w:t>
      </w:r>
      <w:proofErr w:type="spellStart"/>
      <w:r w:rsidRPr="007A2555">
        <w:rPr>
          <w:rFonts w:ascii="Arial" w:hAnsi="Arial" w:cs="Arial"/>
          <w:sz w:val="20"/>
          <w:szCs w:val="20"/>
        </w:rPr>
        <w:t>Čilić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, Dalija </w:t>
      </w:r>
      <w:proofErr w:type="spellStart"/>
      <w:r w:rsidRPr="007A2555">
        <w:rPr>
          <w:rFonts w:ascii="Arial" w:hAnsi="Arial" w:cs="Arial"/>
          <w:sz w:val="20"/>
          <w:szCs w:val="20"/>
        </w:rPr>
        <w:t>Jeličanin</w:t>
      </w:r>
      <w:proofErr w:type="spellEnd"/>
      <w:r w:rsidRPr="007A2555">
        <w:rPr>
          <w:rFonts w:ascii="Arial" w:hAnsi="Arial" w:cs="Arial"/>
          <w:sz w:val="20"/>
          <w:szCs w:val="20"/>
        </w:rPr>
        <w:t>, Petra Roksandić, Haris Talić</w:t>
      </w:r>
    </w:p>
    <w:p w14:paraId="7E69E003" w14:textId="77777777" w:rsidR="00457C7B" w:rsidRPr="007A2555" w:rsidRDefault="00457C7B" w:rsidP="00457C7B">
      <w:pPr>
        <w:jc w:val="center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Mentorica:</w:t>
      </w:r>
      <w:r>
        <w:rPr>
          <w:rFonts w:ascii="Arial" w:hAnsi="Arial" w:cs="Arial"/>
          <w:sz w:val="20"/>
          <w:szCs w:val="20"/>
        </w:rPr>
        <w:t xml:space="preserve"> </w:t>
      </w:r>
      <w:r w:rsidRPr="007A2555">
        <w:rPr>
          <w:rFonts w:ascii="Arial" w:hAnsi="Arial" w:cs="Arial"/>
          <w:sz w:val="20"/>
          <w:szCs w:val="20"/>
        </w:rPr>
        <w:t xml:space="preserve">Šeherzada Talić, </w:t>
      </w:r>
      <w:proofErr w:type="spellStart"/>
      <w:r w:rsidRPr="007A2555">
        <w:rPr>
          <w:rFonts w:ascii="Arial" w:hAnsi="Arial" w:cs="Arial"/>
          <w:sz w:val="20"/>
          <w:szCs w:val="20"/>
        </w:rPr>
        <w:t>dipl.ing</w:t>
      </w:r>
      <w:proofErr w:type="spellEnd"/>
    </w:p>
    <w:p w14:paraId="3EC3BD1D" w14:textId="77777777" w:rsidR="00457C7B" w:rsidRPr="007A2555" w:rsidRDefault="00457C7B" w:rsidP="00457C7B">
      <w:pPr>
        <w:jc w:val="center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Srednja škola Petrinja, Petrinja</w:t>
      </w:r>
    </w:p>
    <w:p w14:paraId="763ADC45" w14:textId="77777777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</w:p>
    <w:p w14:paraId="4B2141FF" w14:textId="77777777" w:rsidR="00457C7B" w:rsidRPr="007A2555" w:rsidRDefault="00457C7B" w:rsidP="00457C7B">
      <w:pPr>
        <w:rPr>
          <w:rFonts w:ascii="Arial" w:hAnsi="Arial" w:cs="Arial"/>
          <w:b/>
          <w:bCs/>
          <w:sz w:val="20"/>
          <w:szCs w:val="20"/>
        </w:rPr>
      </w:pPr>
      <w:r w:rsidRPr="007A2555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A2555">
        <w:rPr>
          <w:rFonts w:ascii="Arial" w:hAnsi="Arial" w:cs="Arial"/>
          <w:b/>
          <w:bCs/>
          <w:sz w:val="20"/>
          <w:szCs w:val="20"/>
        </w:rPr>
        <w:t>Istraživačka pitanja/ Hipoteze</w:t>
      </w:r>
    </w:p>
    <w:p w14:paraId="55EDA216" w14:textId="2C895980" w:rsidR="00457C7B" w:rsidRPr="007A2555" w:rsidRDefault="007F1B6C" w:rsidP="00457C7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r</w:t>
      </w:r>
      <w:r w:rsidR="00457C7B" w:rsidRPr="007A2555">
        <w:rPr>
          <w:rFonts w:ascii="Arial" w:hAnsi="Arial" w:cs="Arial"/>
          <w:iCs/>
          <w:sz w:val="20"/>
          <w:szCs w:val="20"/>
        </w:rPr>
        <w:t>ječici</w:t>
      </w:r>
      <w:r w:rsidR="00773878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73878">
        <w:rPr>
          <w:rFonts w:ascii="Arial" w:hAnsi="Arial" w:cs="Arial"/>
          <w:iCs/>
          <w:sz w:val="20"/>
          <w:szCs w:val="20"/>
        </w:rPr>
        <w:t>Petrinjčici</w:t>
      </w:r>
      <w:proofErr w:type="spellEnd"/>
      <w:r w:rsidR="00773878">
        <w:rPr>
          <w:rFonts w:ascii="Arial" w:hAnsi="Arial" w:cs="Arial"/>
          <w:iCs/>
          <w:sz w:val="20"/>
          <w:szCs w:val="20"/>
        </w:rPr>
        <w:t xml:space="preserve">  provodimo</w:t>
      </w:r>
      <w:r w:rsidR="00457C7B" w:rsidRPr="007A2555">
        <w:rPr>
          <w:rFonts w:ascii="Arial" w:hAnsi="Arial" w:cs="Arial"/>
          <w:iCs/>
          <w:sz w:val="20"/>
          <w:szCs w:val="20"/>
        </w:rPr>
        <w:t xml:space="preserve"> mjerenja fizikalno-kemijskih svojstava vode od listopada 2002. godine i to na postaji „</w:t>
      </w:r>
      <w:proofErr w:type="spellStart"/>
      <w:r w:rsidR="00457C7B" w:rsidRPr="007A2555">
        <w:rPr>
          <w:rFonts w:ascii="Arial" w:hAnsi="Arial" w:cs="Arial"/>
          <w:iCs/>
          <w:sz w:val="20"/>
          <w:szCs w:val="20"/>
        </w:rPr>
        <w:t>Bernićev</w:t>
      </w:r>
      <w:proofErr w:type="spellEnd"/>
      <w:r w:rsidR="00457C7B" w:rsidRPr="007A2555">
        <w:rPr>
          <w:rFonts w:ascii="Arial" w:hAnsi="Arial" w:cs="Arial"/>
          <w:iCs/>
          <w:sz w:val="20"/>
          <w:szCs w:val="20"/>
        </w:rPr>
        <w:t xml:space="preserve"> most“, a kasnije </w:t>
      </w:r>
      <w:r>
        <w:rPr>
          <w:rFonts w:ascii="Arial" w:hAnsi="Arial" w:cs="Arial"/>
          <w:iCs/>
          <w:sz w:val="20"/>
          <w:szCs w:val="20"/>
        </w:rPr>
        <w:t>smo mjerenja proširili na postaje</w:t>
      </w:r>
      <w:r w:rsidR="00457C7B" w:rsidRPr="007A2555">
        <w:rPr>
          <w:rFonts w:ascii="Arial" w:hAnsi="Arial" w:cs="Arial"/>
          <w:iCs/>
          <w:sz w:val="20"/>
          <w:szCs w:val="20"/>
        </w:rPr>
        <w:t xml:space="preserve"> „Pješački most“ i „</w:t>
      </w:r>
      <w:proofErr w:type="spellStart"/>
      <w:r w:rsidR="00457C7B" w:rsidRPr="007A2555">
        <w:rPr>
          <w:rFonts w:ascii="Arial" w:hAnsi="Arial" w:cs="Arial"/>
          <w:iCs/>
          <w:sz w:val="20"/>
          <w:szCs w:val="20"/>
        </w:rPr>
        <w:t>Gupčev</w:t>
      </w:r>
      <w:proofErr w:type="spellEnd"/>
      <w:r w:rsidR="00457C7B" w:rsidRPr="007A2555">
        <w:rPr>
          <w:rFonts w:ascii="Arial" w:hAnsi="Arial" w:cs="Arial"/>
          <w:iCs/>
          <w:sz w:val="20"/>
          <w:szCs w:val="20"/>
        </w:rPr>
        <w:t xml:space="preserve"> most“. Također  imamo  hidrološku postaju na rijeci Kupi: „Kupa kupalište“. Nakon samo 100-</w:t>
      </w:r>
      <w:proofErr w:type="spellStart"/>
      <w:r w:rsidR="00457C7B" w:rsidRPr="007A2555">
        <w:rPr>
          <w:rFonts w:ascii="Arial" w:hAnsi="Arial" w:cs="Arial"/>
          <w:iCs/>
          <w:sz w:val="20"/>
          <w:szCs w:val="20"/>
        </w:rPr>
        <w:t>tinjak</w:t>
      </w:r>
      <w:proofErr w:type="spellEnd"/>
      <w:r w:rsidR="00457C7B" w:rsidRPr="007A2555">
        <w:rPr>
          <w:rFonts w:ascii="Arial" w:hAnsi="Arial" w:cs="Arial"/>
          <w:iCs/>
          <w:sz w:val="20"/>
          <w:szCs w:val="20"/>
        </w:rPr>
        <w:t xml:space="preserve"> metara od postaje „Kupa kupalište“ nalazi se utoka </w:t>
      </w:r>
      <w:proofErr w:type="spellStart"/>
      <w:r w:rsidR="00457C7B" w:rsidRPr="007A2555">
        <w:rPr>
          <w:rFonts w:ascii="Arial" w:hAnsi="Arial" w:cs="Arial"/>
          <w:iCs/>
          <w:sz w:val="20"/>
          <w:szCs w:val="20"/>
        </w:rPr>
        <w:t>Petrinjčice</w:t>
      </w:r>
      <w:proofErr w:type="spellEnd"/>
      <w:r w:rsidR="00457C7B" w:rsidRPr="007A2555">
        <w:rPr>
          <w:rFonts w:ascii="Arial" w:hAnsi="Arial" w:cs="Arial"/>
          <w:iCs/>
          <w:sz w:val="20"/>
          <w:szCs w:val="20"/>
        </w:rPr>
        <w:t xml:space="preserve"> u rijeku Kupu. Budući da redovito radimo analize na našoj rječici, i na rijeci Kupi, zapitali smo se:</w:t>
      </w:r>
    </w:p>
    <w:p w14:paraId="187006A7" w14:textId="77777777" w:rsidR="00457C7B" w:rsidRPr="007A2555" w:rsidRDefault="00457C7B" w:rsidP="00457C7B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Utječe  li naša rječica na kvalitetu rijeke Kupe? </w:t>
      </w:r>
    </w:p>
    <w:p w14:paraId="1CBBF449" w14:textId="77777777" w:rsidR="00457C7B" w:rsidRPr="007A2555" w:rsidRDefault="00457C7B" w:rsidP="00457C7B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Ako utječe, u kojoj mjeri? </w:t>
      </w:r>
    </w:p>
    <w:p w14:paraId="71975029" w14:textId="77777777" w:rsidR="00457C7B" w:rsidRPr="007A2555" w:rsidRDefault="00457C7B" w:rsidP="00457C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Gubi </w:t>
      </w:r>
      <w:r w:rsidRPr="007A2555">
        <w:rPr>
          <w:rFonts w:ascii="Arial" w:hAnsi="Arial" w:cs="Arial"/>
          <w:iCs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iCs/>
          <w:sz w:val="20"/>
          <w:szCs w:val="20"/>
        </w:rPr>
        <w:t>Petrinjčica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na kvaliteti vode </w:t>
      </w:r>
      <w:r w:rsidRPr="007A2555">
        <w:rPr>
          <w:rFonts w:ascii="Arial" w:hAnsi="Arial" w:cs="Arial"/>
          <w:iCs/>
          <w:sz w:val="20"/>
          <w:szCs w:val="20"/>
        </w:rPr>
        <w:t xml:space="preserve">u zadnjih par kilometara do svoga ušća prolaskom kroz grad?  </w:t>
      </w:r>
    </w:p>
    <w:p w14:paraId="54EB2536" w14:textId="77777777" w:rsidR="00457C7B" w:rsidRDefault="00457C7B" w:rsidP="00457C7B">
      <w:pPr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Je li kvaliteta vode rijeke Kupe nakon utoka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Petrinjčice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bolja, lošija ili se nije promijenila?</w:t>
      </w:r>
    </w:p>
    <w:p w14:paraId="5BFF6D3F" w14:textId="77777777" w:rsidR="00457C7B" w:rsidRPr="00457C7B" w:rsidRDefault="00457C7B" w:rsidP="00457C7B">
      <w:pPr>
        <w:spacing w:after="0" w:line="240" w:lineRule="auto"/>
        <w:ind w:left="720"/>
        <w:rPr>
          <w:rFonts w:ascii="Arial" w:hAnsi="Arial" w:cs="Arial"/>
          <w:iCs/>
          <w:sz w:val="20"/>
          <w:szCs w:val="20"/>
        </w:rPr>
      </w:pPr>
    </w:p>
    <w:p w14:paraId="710EE18D" w14:textId="77777777" w:rsidR="00457C7B" w:rsidRPr="007A2555" w:rsidRDefault="00457C7B" w:rsidP="00457C7B">
      <w:pPr>
        <w:rPr>
          <w:rFonts w:ascii="Arial" w:hAnsi="Arial" w:cs="Arial"/>
          <w:b/>
          <w:bCs/>
          <w:sz w:val="20"/>
          <w:szCs w:val="20"/>
        </w:rPr>
      </w:pPr>
      <w:r w:rsidRPr="007A2555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A2555">
        <w:rPr>
          <w:rFonts w:ascii="Arial" w:hAnsi="Arial" w:cs="Arial"/>
          <w:b/>
          <w:bCs/>
          <w:sz w:val="20"/>
          <w:szCs w:val="20"/>
        </w:rPr>
        <w:t>Metode istraživanja</w:t>
      </w:r>
    </w:p>
    <w:p w14:paraId="62EFCBFE" w14:textId="6644C7CB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Pri istraživanju kao i inače pratili smo slijedeće parametre: temperatura zraka i vode, prozirnost, pH-vrijednost, električnu vodljivost,</w:t>
      </w:r>
      <w:r w:rsidR="007F1B6C">
        <w:rPr>
          <w:rFonts w:ascii="Arial" w:hAnsi="Arial" w:cs="Arial"/>
          <w:sz w:val="20"/>
          <w:szCs w:val="20"/>
        </w:rPr>
        <w:t xml:space="preserve"> otopljeni kisik, dušikove soli i</w:t>
      </w:r>
      <w:r>
        <w:rPr>
          <w:rFonts w:ascii="Arial" w:hAnsi="Arial" w:cs="Arial"/>
          <w:sz w:val="20"/>
          <w:szCs w:val="20"/>
        </w:rPr>
        <w:t xml:space="preserve"> fosfate</w:t>
      </w:r>
      <w:r w:rsidRPr="007A2555">
        <w:rPr>
          <w:rFonts w:ascii="Arial" w:hAnsi="Arial" w:cs="Arial"/>
          <w:sz w:val="20"/>
          <w:szCs w:val="20"/>
        </w:rPr>
        <w:t xml:space="preserve"> po GLOBE protokolima. Osim toga uzimali smo jednom mjesečno  i uzorke </w:t>
      </w:r>
      <w:proofErr w:type="spellStart"/>
      <w:r w:rsidRPr="007A2555">
        <w:rPr>
          <w:rFonts w:ascii="Arial" w:hAnsi="Arial" w:cs="Arial"/>
          <w:sz w:val="20"/>
          <w:szCs w:val="20"/>
        </w:rPr>
        <w:t>makrozoobentosa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također prema GLOBE protokolima i to od rujna 2014. godine do travnja 2015. godine. Moramo napomenuti da uslijed velikih poplava u listopadu nismo mogli doći do ušća tako da u tom mjesecu nem</w:t>
      </w:r>
      <w:r>
        <w:rPr>
          <w:rFonts w:ascii="Arial" w:hAnsi="Arial" w:cs="Arial"/>
          <w:sz w:val="20"/>
          <w:szCs w:val="20"/>
        </w:rPr>
        <w:t xml:space="preserve">amo podatak za navedenu postaju. Na postaji Prije utoke </w:t>
      </w:r>
      <w:proofErr w:type="spellStart"/>
      <w:r>
        <w:rPr>
          <w:rFonts w:ascii="Arial" w:hAnsi="Arial" w:cs="Arial"/>
          <w:sz w:val="20"/>
          <w:szCs w:val="20"/>
        </w:rPr>
        <w:t>Petrinjčice</w:t>
      </w:r>
      <w:proofErr w:type="spellEnd"/>
      <w:r>
        <w:rPr>
          <w:rFonts w:ascii="Arial" w:hAnsi="Arial" w:cs="Arial"/>
          <w:sz w:val="20"/>
          <w:szCs w:val="20"/>
        </w:rPr>
        <w:t xml:space="preserve"> u Kupu mjerimo od siječnja 2015.</w:t>
      </w:r>
    </w:p>
    <w:p w14:paraId="2471AD29" w14:textId="77777777" w:rsidR="00457C7B" w:rsidRPr="007A2555" w:rsidRDefault="00457C7B" w:rsidP="00457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Fizikalno−kemijske analize smo radili jednom tjedno od rujna 2014.</w:t>
      </w:r>
      <w:r>
        <w:rPr>
          <w:rFonts w:ascii="Arial" w:hAnsi="Arial" w:cs="Arial"/>
          <w:sz w:val="20"/>
          <w:szCs w:val="20"/>
        </w:rPr>
        <w:t xml:space="preserve"> </w:t>
      </w:r>
      <w:r w:rsidRPr="007A2555">
        <w:rPr>
          <w:rFonts w:ascii="Arial" w:hAnsi="Arial" w:cs="Arial"/>
          <w:sz w:val="20"/>
          <w:szCs w:val="20"/>
        </w:rPr>
        <w:t xml:space="preserve">do sredine travnja 2015. </w:t>
      </w:r>
      <w:r>
        <w:rPr>
          <w:rFonts w:ascii="Arial" w:hAnsi="Arial" w:cs="Arial"/>
          <w:sz w:val="20"/>
          <w:szCs w:val="20"/>
        </w:rPr>
        <w:t>N</w:t>
      </w:r>
      <w:r w:rsidRPr="007A2555">
        <w:rPr>
          <w:rFonts w:ascii="Arial" w:hAnsi="Arial" w:cs="Arial"/>
          <w:sz w:val="20"/>
          <w:szCs w:val="20"/>
        </w:rPr>
        <w:t xml:space="preserve">a dvije rijeke imali </w:t>
      </w:r>
      <w:r>
        <w:rPr>
          <w:rFonts w:ascii="Arial" w:hAnsi="Arial" w:cs="Arial"/>
          <w:sz w:val="20"/>
          <w:szCs w:val="20"/>
        </w:rPr>
        <w:t xml:space="preserve">smo </w:t>
      </w:r>
      <w:r w:rsidRPr="007A2555">
        <w:rPr>
          <w:rFonts w:ascii="Arial" w:hAnsi="Arial" w:cs="Arial"/>
          <w:sz w:val="20"/>
          <w:szCs w:val="20"/>
        </w:rPr>
        <w:t xml:space="preserve">ukupno  4 hidrološke postaje: </w:t>
      </w:r>
    </w:p>
    <w:p w14:paraId="380CC839" w14:textId="77777777" w:rsidR="00457C7B" w:rsidRPr="007A2555" w:rsidRDefault="00457C7B" w:rsidP="00457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1.</w:t>
      </w:r>
      <w:r w:rsidRPr="007A2555">
        <w:rPr>
          <w:rFonts w:ascii="Arial" w:hAnsi="Arial" w:cs="Arial"/>
          <w:sz w:val="20"/>
          <w:szCs w:val="20"/>
        </w:rPr>
        <w:tab/>
      </w:r>
      <w:proofErr w:type="spellStart"/>
      <w:r w:rsidRPr="007A2555">
        <w:rPr>
          <w:rFonts w:ascii="Arial" w:hAnsi="Arial" w:cs="Arial"/>
          <w:sz w:val="20"/>
          <w:szCs w:val="20"/>
        </w:rPr>
        <w:t>Bernićev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most,</w:t>
      </w:r>
    </w:p>
    <w:p w14:paraId="5D6A13BD" w14:textId="77777777" w:rsidR="00457C7B" w:rsidRPr="007A2555" w:rsidRDefault="00457C7B" w:rsidP="00457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2.</w:t>
      </w:r>
      <w:r w:rsidRPr="007A2555">
        <w:rPr>
          <w:rFonts w:ascii="Arial" w:hAnsi="Arial" w:cs="Arial"/>
          <w:sz w:val="20"/>
          <w:szCs w:val="20"/>
        </w:rPr>
        <w:tab/>
      </w:r>
      <w:proofErr w:type="spellStart"/>
      <w:r w:rsidRPr="007A2555">
        <w:rPr>
          <w:rFonts w:ascii="Arial" w:hAnsi="Arial" w:cs="Arial"/>
          <w:sz w:val="20"/>
          <w:szCs w:val="20"/>
        </w:rPr>
        <w:t>Petrinjčica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prije utoke,</w:t>
      </w:r>
    </w:p>
    <w:p w14:paraId="49841C1E" w14:textId="77777777" w:rsidR="00457C7B" w:rsidRPr="007A2555" w:rsidRDefault="00457C7B" w:rsidP="00457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3.</w:t>
      </w:r>
      <w:r w:rsidRPr="007A2555">
        <w:rPr>
          <w:rFonts w:ascii="Arial" w:hAnsi="Arial" w:cs="Arial"/>
          <w:sz w:val="20"/>
          <w:szCs w:val="20"/>
        </w:rPr>
        <w:tab/>
        <w:t>Kupa kupalište,</w:t>
      </w:r>
    </w:p>
    <w:p w14:paraId="6C37784C" w14:textId="77777777" w:rsidR="00457C7B" w:rsidRPr="007A2555" w:rsidRDefault="00457C7B" w:rsidP="00457C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4.</w:t>
      </w:r>
      <w:r w:rsidRPr="007A2555">
        <w:rPr>
          <w:rFonts w:ascii="Arial" w:hAnsi="Arial" w:cs="Arial"/>
          <w:sz w:val="20"/>
          <w:szCs w:val="20"/>
        </w:rPr>
        <w:tab/>
        <w:t>Kupa poslije ušća</w:t>
      </w:r>
    </w:p>
    <w:p w14:paraId="270EEDCD" w14:textId="77777777" w:rsidR="00457C7B" w:rsidRPr="007A2555" w:rsidRDefault="00457C7B" w:rsidP="00457C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5A46C" w14:textId="77777777" w:rsidR="00457C7B" w:rsidRPr="007A2555" w:rsidRDefault="00457C7B" w:rsidP="00457C7B">
      <w:pPr>
        <w:rPr>
          <w:rFonts w:ascii="Arial" w:hAnsi="Arial" w:cs="Arial"/>
          <w:b/>
          <w:bCs/>
          <w:sz w:val="20"/>
          <w:szCs w:val="20"/>
        </w:rPr>
      </w:pPr>
      <w:r w:rsidRPr="007A2555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A2555">
        <w:rPr>
          <w:rFonts w:ascii="Arial" w:hAnsi="Arial" w:cs="Arial"/>
          <w:b/>
          <w:bCs/>
          <w:sz w:val="20"/>
          <w:szCs w:val="20"/>
        </w:rPr>
        <w:t xml:space="preserve">Prikaz i analiza podataka </w:t>
      </w:r>
    </w:p>
    <w:p w14:paraId="734179A1" w14:textId="77777777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Izvirući na obrocima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Zrinjske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gore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Petrinjčica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se spušta sakupljajući pritoke. </w:t>
      </w:r>
      <w:r w:rsidRPr="007A2555">
        <w:rPr>
          <w:rFonts w:ascii="Arial" w:hAnsi="Arial" w:cs="Arial"/>
          <w:sz w:val="20"/>
          <w:szCs w:val="20"/>
        </w:rPr>
        <w:t>Duga je 36 kilometara,a površina slivnog područja je 150 km² s maksimalnim protokom od 230 m</w:t>
      </w:r>
      <w:r w:rsidRPr="007A2555">
        <w:rPr>
          <w:rFonts w:ascii="Arial" w:hAnsi="Arial" w:cs="Arial"/>
          <w:sz w:val="20"/>
          <w:szCs w:val="20"/>
          <w:vertAlign w:val="superscript"/>
        </w:rPr>
        <w:t>3</w:t>
      </w:r>
      <w:r w:rsidRPr="007A2555">
        <w:rPr>
          <w:rFonts w:ascii="Arial" w:hAnsi="Arial" w:cs="Arial"/>
          <w:sz w:val="20"/>
          <w:szCs w:val="20"/>
        </w:rPr>
        <w:t>/s.</w:t>
      </w:r>
      <w:r w:rsidRPr="007A2555">
        <w:rPr>
          <w:rFonts w:ascii="Arial" w:hAnsi="Arial" w:cs="Arial"/>
          <w:iCs/>
          <w:sz w:val="20"/>
          <w:szCs w:val="20"/>
        </w:rPr>
        <w:t xml:space="preserve"> Kraj kroz koji protječe slabo je naseljen pa nema značajnih</w:t>
      </w:r>
      <w:r w:rsidRPr="007A2555">
        <w:rPr>
          <w:rFonts w:ascii="Arial" w:hAnsi="Arial" w:cs="Arial"/>
          <w:sz w:val="20"/>
          <w:szCs w:val="20"/>
        </w:rPr>
        <w:t xml:space="preserve"> onečišćenja. </w:t>
      </w:r>
    </w:p>
    <w:p w14:paraId="31E410C0" w14:textId="779109D4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 xml:space="preserve">U samom gradu je smještena naša </w:t>
      </w:r>
      <w:r w:rsidRPr="007A2555">
        <w:rPr>
          <w:rFonts w:ascii="Arial" w:hAnsi="Arial" w:cs="Arial"/>
          <w:iCs/>
          <w:sz w:val="20"/>
          <w:szCs w:val="20"/>
        </w:rPr>
        <w:t xml:space="preserve">postaja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Bernićev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most, koja je polazna točka našeg projekta , slijedeća postaja je Kupa kupalište, te Kupa nakon ušća. U  siječnju smo mjerenja proširili postajom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Petrinjčica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prije utoke u rijeku Kupu. </w:t>
      </w:r>
      <w:r>
        <w:rPr>
          <w:rFonts w:ascii="Arial" w:hAnsi="Arial" w:cs="Arial"/>
          <w:iCs/>
          <w:sz w:val="20"/>
          <w:szCs w:val="20"/>
        </w:rPr>
        <w:t xml:space="preserve">Time smo željeli dobiti što </w:t>
      </w:r>
      <w:r w:rsidRPr="007A2555">
        <w:rPr>
          <w:rFonts w:ascii="Arial" w:hAnsi="Arial" w:cs="Arial"/>
          <w:iCs/>
          <w:sz w:val="20"/>
          <w:szCs w:val="20"/>
        </w:rPr>
        <w:t>točniju sliku</w:t>
      </w:r>
      <w:r>
        <w:rPr>
          <w:rFonts w:ascii="Arial" w:hAnsi="Arial" w:cs="Arial"/>
          <w:iCs/>
          <w:sz w:val="20"/>
          <w:szCs w:val="20"/>
        </w:rPr>
        <w:t>,</w:t>
      </w:r>
      <w:r w:rsidRPr="007A255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</w:t>
      </w:r>
      <w:r w:rsidRPr="007A2555">
        <w:rPr>
          <w:rFonts w:ascii="Arial" w:hAnsi="Arial" w:cs="Arial"/>
          <w:iCs/>
          <w:sz w:val="20"/>
          <w:szCs w:val="20"/>
        </w:rPr>
        <w:t xml:space="preserve">udući </w:t>
      </w:r>
      <w:r>
        <w:rPr>
          <w:rFonts w:ascii="Arial" w:hAnsi="Arial" w:cs="Arial"/>
          <w:iCs/>
          <w:sz w:val="20"/>
          <w:szCs w:val="20"/>
        </w:rPr>
        <w:t xml:space="preserve">da </w:t>
      </w:r>
      <w:r w:rsidRPr="007A2555">
        <w:rPr>
          <w:rFonts w:ascii="Arial" w:hAnsi="Arial" w:cs="Arial"/>
          <w:iCs/>
          <w:sz w:val="20"/>
          <w:szCs w:val="20"/>
        </w:rPr>
        <w:t xml:space="preserve">se 1. postaja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Bernićev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most nalazi oko 2500 m od samog ušća.</w:t>
      </w:r>
      <w:r w:rsidR="00853910">
        <w:rPr>
          <w:rFonts w:ascii="Arial" w:hAnsi="Arial" w:cs="Arial"/>
          <w:iCs/>
          <w:sz w:val="20"/>
          <w:szCs w:val="20"/>
        </w:rPr>
        <w:t xml:space="preserve"> Također smo </w:t>
      </w:r>
      <w:r w:rsidR="00A155D7">
        <w:rPr>
          <w:rFonts w:ascii="Arial" w:hAnsi="Arial" w:cs="Arial"/>
          <w:iCs/>
          <w:sz w:val="20"/>
          <w:szCs w:val="20"/>
        </w:rPr>
        <w:t xml:space="preserve">u travnju </w:t>
      </w:r>
      <w:r w:rsidR="00853910">
        <w:rPr>
          <w:rFonts w:ascii="Arial" w:hAnsi="Arial" w:cs="Arial"/>
          <w:iCs/>
          <w:sz w:val="20"/>
          <w:szCs w:val="20"/>
        </w:rPr>
        <w:t>izmjerili</w:t>
      </w:r>
      <w:r w:rsidR="00EA4367">
        <w:rPr>
          <w:rFonts w:ascii="Arial" w:hAnsi="Arial" w:cs="Arial"/>
          <w:iCs/>
          <w:sz w:val="20"/>
          <w:szCs w:val="20"/>
        </w:rPr>
        <w:t xml:space="preserve"> prosječnu</w:t>
      </w:r>
      <w:r w:rsidR="00853910">
        <w:rPr>
          <w:rFonts w:ascii="Arial" w:hAnsi="Arial" w:cs="Arial"/>
          <w:iCs/>
          <w:sz w:val="20"/>
          <w:szCs w:val="20"/>
        </w:rPr>
        <w:t xml:space="preserve"> širinu rječice </w:t>
      </w:r>
      <w:proofErr w:type="spellStart"/>
      <w:r w:rsidR="00853910">
        <w:rPr>
          <w:rFonts w:ascii="Arial" w:hAnsi="Arial" w:cs="Arial"/>
          <w:iCs/>
          <w:sz w:val="20"/>
          <w:szCs w:val="20"/>
        </w:rPr>
        <w:t>Petrinjčice</w:t>
      </w:r>
      <w:proofErr w:type="spellEnd"/>
      <w:r w:rsidR="00853910">
        <w:rPr>
          <w:rFonts w:ascii="Arial" w:hAnsi="Arial" w:cs="Arial"/>
          <w:iCs/>
          <w:sz w:val="20"/>
          <w:szCs w:val="20"/>
        </w:rPr>
        <w:t xml:space="preserve"> i ona </w:t>
      </w:r>
      <w:r w:rsidR="00EA4367">
        <w:rPr>
          <w:rFonts w:ascii="Arial" w:hAnsi="Arial" w:cs="Arial"/>
          <w:iCs/>
          <w:sz w:val="20"/>
          <w:szCs w:val="20"/>
        </w:rPr>
        <w:t xml:space="preserve">je </w:t>
      </w:r>
      <w:r w:rsidR="00853910">
        <w:rPr>
          <w:rFonts w:ascii="Arial" w:hAnsi="Arial" w:cs="Arial"/>
          <w:iCs/>
          <w:sz w:val="20"/>
          <w:szCs w:val="20"/>
        </w:rPr>
        <w:t>iznosi</w:t>
      </w:r>
      <w:r w:rsidR="00EA4367">
        <w:rPr>
          <w:rFonts w:ascii="Arial" w:hAnsi="Arial" w:cs="Arial"/>
          <w:iCs/>
          <w:sz w:val="20"/>
          <w:szCs w:val="20"/>
        </w:rPr>
        <w:t>la</w:t>
      </w:r>
      <w:r w:rsidR="00853910">
        <w:rPr>
          <w:rFonts w:ascii="Arial" w:hAnsi="Arial" w:cs="Arial"/>
          <w:iCs/>
          <w:sz w:val="20"/>
          <w:szCs w:val="20"/>
        </w:rPr>
        <w:t xml:space="preserve"> </w:t>
      </w:r>
      <w:r w:rsidR="00A155D7">
        <w:rPr>
          <w:rFonts w:ascii="Arial" w:hAnsi="Arial" w:cs="Arial"/>
          <w:iCs/>
          <w:sz w:val="20"/>
          <w:szCs w:val="20"/>
        </w:rPr>
        <w:t>7,94</w:t>
      </w:r>
      <w:r w:rsidR="00EA4367">
        <w:rPr>
          <w:rFonts w:ascii="Arial" w:hAnsi="Arial" w:cs="Arial"/>
          <w:iCs/>
          <w:sz w:val="20"/>
          <w:szCs w:val="20"/>
        </w:rPr>
        <w:t xml:space="preserve"> </w:t>
      </w:r>
      <w:r w:rsidR="00A155D7">
        <w:rPr>
          <w:rFonts w:ascii="Arial" w:hAnsi="Arial" w:cs="Arial"/>
          <w:iCs/>
          <w:sz w:val="20"/>
          <w:szCs w:val="20"/>
        </w:rPr>
        <w:t>m</w:t>
      </w:r>
      <w:r w:rsidR="00EA4367">
        <w:rPr>
          <w:rFonts w:ascii="Arial" w:hAnsi="Arial" w:cs="Arial"/>
          <w:iCs/>
          <w:sz w:val="20"/>
          <w:szCs w:val="20"/>
        </w:rPr>
        <w:t>, dok je</w:t>
      </w:r>
      <w:r w:rsidR="00A155D7">
        <w:rPr>
          <w:rFonts w:ascii="Arial" w:hAnsi="Arial" w:cs="Arial"/>
          <w:iCs/>
          <w:sz w:val="20"/>
          <w:szCs w:val="20"/>
        </w:rPr>
        <w:t xml:space="preserve"> rijek</w:t>
      </w:r>
      <w:r w:rsidR="00EA4367">
        <w:rPr>
          <w:rFonts w:ascii="Arial" w:hAnsi="Arial" w:cs="Arial"/>
          <w:iCs/>
          <w:sz w:val="20"/>
          <w:szCs w:val="20"/>
        </w:rPr>
        <w:t>a</w:t>
      </w:r>
      <w:r w:rsidR="00A155D7">
        <w:rPr>
          <w:rFonts w:ascii="Arial" w:hAnsi="Arial" w:cs="Arial"/>
          <w:iCs/>
          <w:sz w:val="20"/>
          <w:szCs w:val="20"/>
        </w:rPr>
        <w:t xml:space="preserve"> Kup</w:t>
      </w:r>
      <w:r w:rsidR="00EA4367">
        <w:rPr>
          <w:rFonts w:ascii="Arial" w:hAnsi="Arial" w:cs="Arial"/>
          <w:iCs/>
          <w:sz w:val="20"/>
          <w:szCs w:val="20"/>
        </w:rPr>
        <w:t>a bila široka</w:t>
      </w:r>
      <w:r w:rsidR="00A155D7">
        <w:rPr>
          <w:rFonts w:ascii="Arial" w:hAnsi="Arial" w:cs="Arial"/>
          <w:iCs/>
          <w:sz w:val="20"/>
          <w:szCs w:val="20"/>
        </w:rPr>
        <w:t xml:space="preserve"> 85,7</w:t>
      </w:r>
      <w:r w:rsidR="00EA4367">
        <w:rPr>
          <w:rFonts w:ascii="Arial" w:hAnsi="Arial" w:cs="Arial"/>
          <w:iCs/>
          <w:sz w:val="20"/>
          <w:szCs w:val="20"/>
        </w:rPr>
        <w:t xml:space="preserve"> </w:t>
      </w:r>
      <w:r w:rsidR="00A155D7">
        <w:rPr>
          <w:rFonts w:ascii="Arial" w:hAnsi="Arial" w:cs="Arial"/>
          <w:iCs/>
          <w:sz w:val="20"/>
          <w:szCs w:val="20"/>
        </w:rPr>
        <w:t>m.</w:t>
      </w:r>
    </w:p>
    <w:p w14:paraId="15635884" w14:textId="77777777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>Rezultati provedenih analiza uzoraka vode sistematizirali smo prema mjestu uzorkovanja i obradili u programu Microsoft Excel 2010 te prikazali u obliku grafikona za svaki od analiziranih parametara kao srednje mjesečne vrijednosti.</w:t>
      </w:r>
    </w:p>
    <w:p w14:paraId="1F476D5D" w14:textId="77777777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Vrijednosti temperature vode kretale su se u rasponu od min. 2,7 °C do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max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. 15,5 °C. Rezultati mjerenja ovog parametra oslikavaju dinamiku oscilacije temperature u donjem toku rječice 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Petrinjčice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i rijeci Kupi prije i poslije utoke</w:t>
      </w:r>
      <w:r>
        <w:rPr>
          <w:rFonts w:ascii="Arial" w:hAnsi="Arial" w:cs="Arial"/>
          <w:iCs/>
          <w:sz w:val="20"/>
          <w:szCs w:val="20"/>
        </w:rPr>
        <w:t xml:space="preserve"> (Slika 1.)</w:t>
      </w:r>
      <w:r w:rsidRPr="007A2555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23B3F1C" w14:textId="77777777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noProof/>
          <w:sz w:val="20"/>
          <w:szCs w:val="20"/>
          <w:lang w:eastAsia="hr-HR"/>
        </w:rPr>
        <w:lastRenderedPageBreak/>
        <w:drawing>
          <wp:inline distT="0" distB="0" distL="0" distR="0" wp14:anchorId="6A997EA5" wp14:editId="1D9C5F7A">
            <wp:extent cx="2811439" cy="1692884"/>
            <wp:effectExtent l="0" t="0" r="825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43" cy="169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13079581" wp14:editId="24FF2299">
            <wp:extent cx="2815337" cy="1692322"/>
            <wp:effectExtent l="0" t="0" r="4445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82" cy="169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0E31A" w14:textId="77777777" w:rsidR="00457C7B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>Slika 1. Srednja mjesečna temperatura vode na istraživanim postajama</w:t>
      </w:r>
      <w:r>
        <w:rPr>
          <w:rFonts w:ascii="Arial" w:hAnsi="Arial" w:cs="Arial"/>
          <w:iCs/>
          <w:sz w:val="20"/>
          <w:szCs w:val="20"/>
        </w:rPr>
        <w:t xml:space="preserve"> po mjesecima i srednje vrijednosti za cijelo razdoblje istraživanja.</w:t>
      </w:r>
    </w:p>
    <w:p w14:paraId="05450C54" w14:textId="728E95F4" w:rsidR="00457C7B" w:rsidRPr="007A2555" w:rsidRDefault="007F1B6C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Prozirnost vode na r</w:t>
      </w:r>
      <w:r w:rsidR="00457C7B" w:rsidRPr="007A2555">
        <w:rPr>
          <w:rFonts w:ascii="Arial" w:hAnsi="Arial" w:cs="Arial"/>
          <w:iCs/>
          <w:sz w:val="20"/>
          <w:szCs w:val="20"/>
        </w:rPr>
        <w:t xml:space="preserve">ječici </w:t>
      </w:r>
      <w:proofErr w:type="spellStart"/>
      <w:r w:rsidR="00457C7B" w:rsidRPr="007A2555">
        <w:rPr>
          <w:rFonts w:ascii="Arial" w:hAnsi="Arial" w:cs="Arial"/>
          <w:iCs/>
          <w:sz w:val="20"/>
          <w:szCs w:val="20"/>
        </w:rPr>
        <w:t>Petrinjčici</w:t>
      </w:r>
      <w:proofErr w:type="spellEnd"/>
      <w:r w:rsidR="00457C7B" w:rsidRPr="007A2555">
        <w:rPr>
          <w:rFonts w:ascii="Arial" w:hAnsi="Arial" w:cs="Arial"/>
          <w:iCs/>
          <w:sz w:val="20"/>
          <w:szCs w:val="20"/>
        </w:rPr>
        <w:t xml:space="preserve"> se kreće od minimalnih 33 cm do 118 cm što je u prosjeku 72 cm, a vrijednost lagano opada na postaji </w:t>
      </w:r>
      <w:proofErr w:type="spellStart"/>
      <w:r w:rsidR="00457C7B" w:rsidRPr="007A2555">
        <w:rPr>
          <w:rFonts w:ascii="Arial" w:hAnsi="Arial" w:cs="Arial"/>
          <w:iCs/>
          <w:sz w:val="20"/>
          <w:szCs w:val="20"/>
        </w:rPr>
        <w:t>Petrinjčica</w:t>
      </w:r>
      <w:proofErr w:type="spellEnd"/>
      <w:r w:rsidR="00457C7B" w:rsidRPr="007A2555">
        <w:rPr>
          <w:rFonts w:ascii="Arial" w:hAnsi="Arial" w:cs="Arial"/>
          <w:iCs/>
          <w:sz w:val="20"/>
          <w:szCs w:val="20"/>
        </w:rPr>
        <w:t xml:space="preserve"> prije utoke. Vrijednosti na postaji Kupa kupalište su od minimalne 29,3 cm za vrijeme poplava do 109 cm, što je u prosjeku  53,3 cm, da bi poslije utoke lagano rasle</w:t>
      </w:r>
      <w:r w:rsidR="00457C7B">
        <w:rPr>
          <w:rFonts w:ascii="Arial" w:hAnsi="Arial" w:cs="Arial"/>
          <w:iCs/>
          <w:sz w:val="20"/>
          <w:szCs w:val="20"/>
        </w:rPr>
        <w:t xml:space="preserve"> (Slika 2.)</w:t>
      </w:r>
      <w:r w:rsidR="00457C7B" w:rsidRPr="007A2555">
        <w:rPr>
          <w:rFonts w:ascii="Arial" w:hAnsi="Arial" w:cs="Arial"/>
          <w:iCs/>
          <w:sz w:val="20"/>
          <w:szCs w:val="20"/>
        </w:rPr>
        <w:t xml:space="preserve">. </w:t>
      </w:r>
    </w:p>
    <w:p w14:paraId="44F6A89D" w14:textId="77777777" w:rsidR="00457C7B" w:rsidRPr="007A2555" w:rsidRDefault="00457C7B" w:rsidP="00457C7B">
      <w:pPr>
        <w:jc w:val="center"/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6ADF0BEA" wp14:editId="09D90307">
            <wp:extent cx="2681785" cy="1708246"/>
            <wp:effectExtent l="0" t="0" r="444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42" cy="170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6555D020" wp14:editId="281E3863">
            <wp:extent cx="2811439" cy="1710450"/>
            <wp:effectExtent l="0" t="0" r="8255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08" cy="17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F6E6B" w14:textId="77777777" w:rsidR="00457C7B" w:rsidRDefault="00457C7B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Slika 2</w:t>
      </w:r>
      <w:r w:rsidRPr="007A2555">
        <w:rPr>
          <w:rFonts w:ascii="Arial" w:hAnsi="Arial" w:cs="Arial"/>
          <w:iCs/>
          <w:sz w:val="20"/>
          <w:szCs w:val="20"/>
        </w:rPr>
        <w:t>. Prozirnost vode na istraživačkim postajama</w:t>
      </w:r>
      <w:r>
        <w:rPr>
          <w:rFonts w:ascii="Arial" w:hAnsi="Arial" w:cs="Arial"/>
          <w:iCs/>
          <w:sz w:val="20"/>
          <w:szCs w:val="20"/>
        </w:rPr>
        <w:t xml:space="preserve"> po mjesecima i srednje vrijednosti za cijelo razdoblje istraživanja.</w:t>
      </w:r>
    </w:p>
    <w:p w14:paraId="762BE179" w14:textId="77777777" w:rsidR="00457C7B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Prema podacima za pH možemo primijetiti da se na rijeci Kupi vrijednosti kreću od 6,8 do 7,8 maksimalno dok su na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Petrinjčici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od 7,4 do 7,8 no prosječna vrijednost iznosi za sve postaje 7,5</w:t>
      </w:r>
      <w:r>
        <w:rPr>
          <w:rFonts w:ascii="Arial" w:hAnsi="Arial" w:cs="Arial"/>
          <w:iCs/>
          <w:sz w:val="20"/>
          <w:szCs w:val="20"/>
        </w:rPr>
        <w:t xml:space="preserve">   (Slika 3.)</w:t>
      </w:r>
      <w:r w:rsidRPr="007A2555">
        <w:rPr>
          <w:rFonts w:ascii="Arial" w:hAnsi="Arial" w:cs="Arial"/>
          <w:iCs/>
          <w:sz w:val="20"/>
          <w:szCs w:val="20"/>
        </w:rPr>
        <w:t>.</w:t>
      </w:r>
    </w:p>
    <w:p w14:paraId="0C75E0A9" w14:textId="77777777" w:rsidR="00457C7B" w:rsidRPr="007A2555" w:rsidRDefault="00457C7B" w:rsidP="00A155D7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30DA1B88" wp14:editId="3A5EF2B8">
            <wp:extent cx="2690464" cy="1617260"/>
            <wp:effectExtent l="0" t="0" r="0" b="254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73" cy="163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7DA4"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67924D2A" wp14:editId="72A739AB">
            <wp:extent cx="2695433" cy="1620245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79" cy="163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770F" w14:textId="77777777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</w:p>
    <w:p w14:paraId="0E3C2EC1" w14:textId="77777777" w:rsidR="00457C7B" w:rsidRPr="007A2555" w:rsidRDefault="00457C7B" w:rsidP="00457C7B">
      <w:pPr>
        <w:jc w:val="center"/>
        <w:rPr>
          <w:rFonts w:ascii="Arial" w:hAnsi="Arial" w:cs="Arial"/>
          <w:iCs/>
          <w:sz w:val="20"/>
          <w:szCs w:val="20"/>
        </w:rPr>
      </w:pPr>
    </w:p>
    <w:p w14:paraId="49304E21" w14:textId="77777777" w:rsidR="00EA4367" w:rsidRDefault="00457C7B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Slika 3</w:t>
      </w:r>
      <w:r w:rsidRPr="007A2555">
        <w:rPr>
          <w:rFonts w:ascii="Arial" w:hAnsi="Arial" w:cs="Arial"/>
          <w:iCs/>
          <w:sz w:val="20"/>
          <w:szCs w:val="20"/>
        </w:rPr>
        <w:t>. pH−vrijednost  na is</w:t>
      </w:r>
      <w:r w:rsidR="00A15CA8">
        <w:rPr>
          <w:rFonts w:ascii="Arial" w:hAnsi="Arial" w:cs="Arial"/>
          <w:iCs/>
          <w:sz w:val="20"/>
          <w:szCs w:val="20"/>
        </w:rPr>
        <w:t>tr</w:t>
      </w:r>
      <w:r w:rsidRPr="007A2555">
        <w:rPr>
          <w:rFonts w:ascii="Arial" w:hAnsi="Arial" w:cs="Arial"/>
          <w:iCs/>
          <w:sz w:val="20"/>
          <w:szCs w:val="20"/>
        </w:rPr>
        <w:t>aživačkim postajama</w:t>
      </w:r>
      <w:r w:rsidR="00D77DA4">
        <w:rPr>
          <w:rFonts w:ascii="Arial" w:hAnsi="Arial" w:cs="Arial"/>
          <w:iCs/>
          <w:sz w:val="20"/>
          <w:szCs w:val="20"/>
        </w:rPr>
        <w:t xml:space="preserve"> i srednja vrijednost za cijelo razdoblje istraživanja. </w:t>
      </w:r>
    </w:p>
    <w:p w14:paraId="35DA4D59" w14:textId="5D322F8A" w:rsidR="00457C7B" w:rsidRDefault="00D77DA4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Vrijednosti kiselosti su najviše na postaji </w:t>
      </w:r>
      <w:proofErr w:type="spellStart"/>
      <w:r>
        <w:rPr>
          <w:rFonts w:ascii="Arial" w:hAnsi="Arial" w:cs="Arial"/>
          <w:iCs/>
          <w:sz w:val="20"/>
          <w:szCs w:val="20"/>
        </w:rPr>
        <w:t>Petrinjčica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prije utoke u rijeku Kupu na postaji </w:t>
      </w:r>
      <w:proofErr w:type="spellStart"/>
      <w:r>
        <w:rPr>
          <w:rFonts w:ascii="Arial" w:hAnsi="Arial" w:cs="Arial"/>
          <w:iCs/>
          <w:sz w:val="20"/>
          <w:szCs w:val="20"/>
        </w:rPr>
        <w:t>Petrinjčica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prije utoke sa prosječnom vrijednosti od 7,7. </w:t>
      </w:r>
    </w:p>
    <w:p w14:paraId="12D621C2" w14:textId="77777777" w:rsidR="00457C7B" w:rsidRPr="007A2555" w:rsidRDefault="00181FE9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Sadržaj otopljenog kisika je najviši na hidrološkoj postaji  </w:t>
      </w:r>
      <w:proofErr w:type="spellStart"/>
      <w:r>
        <w:rPr>
          <w:rFonts w:ascii="Arial" w:hAnsi="Arial" w:cs="Arial"/>
          <w:iCs/>
          <w:sz w:val="20"/>
          <w:szCs w:val="20"/>
        </w:rPr>
        <w:t>Bernićev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most, dok je  na postaji Kupa kupalište  najmanji sa prosječnom vrijednosti od 8,9 mg/L da bi se nakon utoke </w:t>
      </w:r>
      <w:proofErr w:type="spellStart"/>
      <w:r>
        <w:rPr>
          <w:rFonts w:ascii="Arial" w:hAnsi="Arial" w:cs="Arial"/>
          <w:iCs/>
          <w:sz w:val="20"/>
          <w:szCs w:val="20"/>
        </w:rPr>
        <w:t>Petrinjčice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u rijeku Kupu</w:t>
      </w:r>
      <w:r w:rsidR="00BE53AD">
        <w:rPr>
          <w:rFonts w:ascii="Arial" w:hAnsi="Arial" w:cs="Arial"/>
          <w:iCs/>
          <w:sz w:val="20"/>
          <w:szCs w:val="20"/>
        </w:rPr>
        <w:t xml:space="preserve"> ta</w:t>
      </w:r>
      <w:r>
        <w:rPr>
          <w:rFonts w:ascii="Arial" w:hAnsi="Arial" w:cs="Arial"/>
          <w:iCs/>
          <w:sz w:val="20"/>
          <w:szCs w:val="20"/>
        </w:rPr>
        <w:t xml:space="preserve"> vrijednost povisila na 9,0</w:t>
      </w:r>
      <w:r w:rsidR="00BE53A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mg/L.</w:t>
      </w:r>
      <w:r w:rsidR="00457C7B" w:rsidRPr="007A2555">
        <w:rPr>
          <w:rFonts w:ascii="Arial" w:hAnsi="Arial" w:cs="Arial"/>
          <w:iCs/>
          <w:sz w:val="20"/>
          <w:szCs w:val="20"/>
        </w:rPr>
        <w:t xml:space="preserve"> </w:t>
      </w:r>
      <w:r w:rsidR="00A155D7">
        <w:rPr>
          <w:rFonts w:ascii="Arial" w:hAnsi="Arial" w:cs="Arial"/>
          <w:iCs/>
          <w:sz w:val="20"/>
          <w:szCs w:val="20"/>
        </w:rPr>
        <w:t>(Slika 4.)</w:t>
      </w:r>
    </w:p>
    <w:p w14:paraId="3BD9BB76" w14:textId="77777777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3F8C8D4C" wp14:editId="0E157926">
            <wp:extent cx="2727873" cy="1698624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05" cy="170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AD">
        <w:rPr>
          <w:rFonts w:ascii="Arial" w:hAnsi="Arial" w:cs="Arial"/>
          <w:iCs/>
          <w:noProof/>
          <w:sz w:val="20"/>
          <w:szCs w:val="20"/>
          <w:lang w:eastAsia="hr-HR"/>
        </w:rPr>
        <w:drawing>
          <wp:inline distT="0" distB="0" distL="0" distR="0" wp14:anchorId="5B486472" wp14:editId="03425BAF">
            <wp:extent cx="2745837" cy="1691479"/>
            <wp:effectExtent l="0" t="0" r="0" b="444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06" cy="16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9693F" w14:textId="77777777" w:rsidR="00457C7B" w:rsidRDefault="00457C7B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Slika 4</w:t>
      </w:r>
      <w:r w:rsidRPr="007A2555">
        <w:rPr>
          <w:rFonts w:ascii="Arial" w:hAnsi="Arial" w:cs="Arial"/>
          <w:iCs/>
          <w:sz w:val="20"/>
          <w:szCs w:val="20"/>
        </w:rPr>
        <w:t>.  Sadržaj otopljenog kisika na istraživačkim postajama</w:t>
      </w:r>
      <w:r>
        <w:rPr>
          <w:rFonts w:ascii="Arial" w:hAnsi="Arial" w:cs="Arial"/>
          <w:iCs/>
          <w:sz w:val="20"/>
          <w:szCs w:val="20"/>
        </w:rPr>
        <w:t xml:space="preserve"> po mjesecima i srednje vrijednosti za cijelo razdoblje istraživanja. </w:t>
      </w:r>
    </w:p>
    <w:p w14:paraId="3D476563" w14:textId="77777777" w:rsidR="00457C7B" w:rsidRPr="007A2555" w:rsidRDefault="00457C7B" w:rsidP="00457C7B">
      <w:pPr>
        <w:rPr>
          <w:rFonts w:ascii="Arial" w:hAnsi="Arial" w:cs="Arial"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>Također smo računali i deficit kisik</w:t>
      </w:r>
      <w:r>
        <w:rPr>
          <w:rFonts w:ascii="Arial" w:hAnsi="Arial" w:cs="Arial"/>
          <w:iCs/>
          <w:sz w:val="20"/>
          <w:szCs w:val="20"/>
        </w:rPr>
        <w:t>a (T</w:t>
      </w:r>
      <w:r w:rsidRPr="007A2555">
        <w:rPr>
          <w:rFonts w:ascii="Arial" w:hAnsi="Arial" w:cs="Arial"/>
          <w:iCs/>
          <w:sz w:val="20"/>
          <w:szCs w:val="20"/>
        </w:rPr>
        <w:t>ablic</w:t>
      </w:r>
      <w:r>
        <w:rPr>
          <w:rFonts w:ascii="Arial" w:hAnsi="Arial" w:cs="Arial"/>
          <w:iCs/>
          <w:sz w:val="20"/>
          <w:szCs w:val="20"/>
        </w:rPr>
        <w:t>a</w:t>
      </w:r>
      <w:r w:rsidRPr="007A2555">
        <w:rPr>
          <w:rFonts w:ascii="Arial" w:hAnsi="Arial" w:cs="Arial"/>
          <w:iCs/>
          <w:sz w:val="20"/>
          <w:szCs w:val="20"/>
        </w:rPr>
        <w:t xml:space="preserve"> 1.</w:t>
      </w:r>
      <w:r>
        <w:rPr>
          <w:rFonts w:ascii="Arial" w:hAnsi="Arial" w:cs="Arial"/>
          <w:iCs/>
          <w:sz w:val="20"/>
          <w:szCs w:val="20"/>
        </w:rPr>
        <w:t>)</w:t>
      </w:r>
    </w:p>
    <w:p w14:paraId="77095616" w14:textId="77777777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Tablica 1. Deficit  kisika na mjernim postajama.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842"/>
        <w:gridCol w:w="1701"/>
      </w:tblGrid>
      <w:tr w:rsidR="00457C7B" w:rsidRPr="007A2555" w14:paraId="23745DA5" w14:textId="77777777" w:rsidTr="00C51B54">
        <w:trPr>
          <w:trHeight w:val="3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88300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Postaja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067E53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 xml:space="preserve">Temp. vode/ </w:t>
            </w:r>
            <w:proofErr w:type="spellStart"/>
            <w:r w:rsidRPr="007A255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2555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292280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Otopljeni kisik/mg/L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D5501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Max.toplj.O</w:t>
            </w:r>
            <w:r w:rsidRPr="007A255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A2555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2CC4D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Deficit  O</w:t>
            </w:r>
            <w:r w:rsidRPr="007A255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7A2555">
              <w:rPr>
                <w:rFonts w:ascii="Arial" w:hAnsi="Arial" w:cs="Arial"/>
                <w:sz w:val="20"/>
                <w:szCs w:val="20"/>
              </w:rPr>
              <w:t>/mg/L</w:t>
            </w:r>
          </w:p>
        </w:tc>
      </w:tr>
      <w:tr w:rsidR="00457C7B" w:rsidRPr="007A2555" w14:paraId="34263D20" w14:textId="77777777" w:rsidTr="00C51B54">
        <w:trPr>
          <w:trHeight w:hRule="exact" w:val="32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395B35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55">
              <w:rPr>
                <w:rFonts w:ascii="Arial" w:hAnsi="Arial" w:cs="Arial"/>
                <w:sz w:val="20"/>
                <w:szCs w:val="20"/>
              </w:rPr>
              <w:t>Bernićev</w:t>
            </w:r>
            <w:proofErr w:type="spellEnd"/>
            <w:r w:rsidRPr="007A2555">
              <w:rPr>
                <w:rFonts w:ascii="Arial" w:hAnsi="Arial" w:cs="Arial"/>
                <w:sz w:val="20"/>
                <w:szCs w:val="20"/>
              </w:rPr>
              <w:t xml:space="preserve"> most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2D6CD90C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9,</w:t>
            </w:r>
            <w:proofErr w:type="spellStart"/>
            <w:r w:rsidRPr="007A2555">
              <w:rPr>
                <w:rFonts w:ascii="Arial" w:hAnsi="Arial" w:cs="Arial"/>
                <w:sz w:val="20"/>
                <w:szCs w:val="20"/>
              </w:rPr>
              <w:t>9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43CF5E34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055DB741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774BDB3A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−1,9</w:t>
            </w:r>
          </w:p>
        </w:tc>
      </w:tr>
      <w:tr w:rsidR="00457C7B" w:rsidRPr="007A2555" w14:paraId="1B24EB81" w14:textId="77777777" w:rsidTr="00C51B54">
        <w:trPr>
          <w:trHeight w:hRule="exact" w:val="250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03D49C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55">
              <w:rPr>
                <w:rFonts w:ascii="Arial" w:hAnsi="Arial" w:cs="Arial"/>
                <w:sz w:val="20"/>
                <w:szCs w:val="20"/>
              </w:rPr>
              <w:t>Petrinjčica</w:t>
            </w:r>
            <w:proofErr w:type="spellEnd"/>
            <w:r w:rsidRPr="007A2555">
              <w:rPr>
                <w:rFonts w:ascii="Arial" w:hAnsi="Arial" w:cs="Arial"/>
                <w:sz w:val="20"/>
                <w:szCs w:val="20"/>
              </w:rPr>
              <w:t xml:space="preserve"> prije ut. utoke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4000324C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62966E57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4013EC8D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5766BB1B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−2,0</w:t>
            </w:r>
          </w:p>
        </w:tc>
      </w:tr>
      <w:tr w:rsidR="00457C7B" w:rsidRPr="007A2555" w14:paraId="2BC23C0C" w14:textId="77777777" w:rsidTr="00C51B54">
        <w:trPr>
          <w:trHeight w:hRule="exact" w:val="282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6B6E88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Kupa kupalište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1E7C39DD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1EC4A0D7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785B0B81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57D544EE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−2,6</w:t>
            </w:r>
          </w:p>
        </w:tc>
      </w:tr>
      <w:tr w:rsidR="00457C7B" w:rsidRPr="007A2555" w14:paraId="65979F7C" w14:textId="77777777" w:rsidTr="00C51B54">
        <w:trPr>
          <w:trHeight w:hRule="exact" w:val="286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66D2D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Kupa poslije utoke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748DE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3273F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155103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1B19C" w14:textId="77777777" w:rsidR="00457C7B" w:rsidRPr="007A2555" w:rsidRDefault="00457C7B" w:rsidP="00C51B54">
            <w:pPr>
              <w:rPr>
                <w:rFonts w:ascii="Arial" w:hAnsi="Arial" w:cs="Arial"/>
                <w:sz w:val="20"/>
                <w:szCs w:val="20"/>
              </w:rPr>
            </w:pPr>
            <w:r w:rsidRPr="007A2555">
              <w:rPr>
                <w:rFonts w:ascii="Arial" w:hAnsi="Arial" w:cs="Arial"/>
                <w:sz w:val="20"/>
                <w:szCs w:val="20"/>
              </w:rPr>
              <w:t>−2,6</w:t>
            </w:r>
          </w:p>
        </w:tc>
      </w:tr>
    </w:tbl>
    <w:p w14:paraId="04CE54F5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</w:p>
    <w:p w14:paraId="7A9DE69C" w14:textId="77777777" w:rsidR="00457C7B" w:rsidRPr="007A2555" w:rsidRDefault="00457C7B" w:rsidP="00457C7B">
      <w:pPr>
        <w:rPr>
          <w:rFonts w:ascii="Arial" w:hAnsi="Arial" w:cs="Arial"/>
          <w:b/>
          <w:iCs/>
          <w:sz w:val="20"/>
          <w:szCs w:val="20"/>
        </w:rPr>
      </w:pPr>
      <w:r w:rsidRPr="007A2555">
        <w:rPr>
          <w:rFonts w:ascii="Arial" w:hAnsi="Arial" w:cs="Arial"/>
          <w:iCs/>
          <w:sz w:val="20"/>
          <w:szCs w:val="20"/>
        </w:rPr>
        <w:t xml:space="preserve">Kada pratimo vrijednosti dušikovih soli možemo primijetiti da su veće u rijeci Kupi nego li na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(Slika 5).</w:t>
      </w:r>
      <w:r w:rsidRPr="007A2555">
        <w:rPr>
          <w:rFonts w:ascii="Arial" w:hAnsi="Arial" w:cs="Arial"/>
          <w:iCs/>
          <w:sz w:val="20"/>
          <w:szCs w:val="20"/>
        </w:rPr>
        <w:t xml:space="preserve"> Nitrati u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Petrinjčici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ne prelaze vrijednost od 1,5 mg/L dok su te vrijednosti na Kupi i do 3,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3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mg/L. </w:t>
      </w:r>
    </w:p>
    <w:p w14:paraId="16A4E3F0" w14:textId="77777777" w:rsidR="00457C7B" w:rsidRPr="007A2555" w:rsidRDefault="00457C7B" w:rsidP="00457C7B">
      <w:pPr>
        <w:rPr>
          <w:rFonts w:ascii="Arial" w:hAnsi="Arial" w:cs="Arial"/>
          <w:b/>
          <w:iCs/>
          <w:sz w:val="20"/>
          <w:szCs w:val="20"/>
        </w:rPr>
      </w:pPr>
      <w:r w:rsidRPr="007A2555">
        <w:rPr>
          <w:rFonts w:ascii="Arial" w:hAnsi="Arial" w:cs="Arial"/>
          <w:b/>
          <w:iCs/>
          <w:noProof/>
          <w:sz w:val="20"/>
          <w:szCs w:val="20"/>
          <w:lang w:eastAsia="hr-HR"/>
        </w:rPr>
        <w:drawing>
          <wp:inline distT="0" distB="0" distL="0" distR="0" wp14:anchorId="5CA6AB25" wp14:editId="010090DF">
            <wp:extent cx="2556591" cy="1535373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26" cy="153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noProof/>
          <w:sz w:val="20"/>
          <w:szCs w:val="20"/>
          <w:lang w:eastAsia="hr-HR"/>
        </w:rPr>
        <w:drawing>
          <wp:inline distT="0" distB="0" distL="0" distR="0" wp14:anchorId="0DC27A1B" wp14:editId="78D30F09">
            <wp:extent cx="2542885" cy="1535373"/>
            <wp:effectExtent l="0" t="0" r="0" b="825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95" cy="1539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92C01" w14:textId="77777777" w:rsidR="00457C7B" w:rsidRDefault="00457C7B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Slika 5</w:t>
      </w:r>
      <w:r w:rsidRPr="007A2555">
        <w:rPr>
          <w:rFonts w:ascii="Arial" w:hAnsi="Arial" w:cs="Arial"/>
          <w:iCs/>
          <w:sz w:val="20"/>
          <w:szCs w:val="20"/>
        </w:rPr>
        <w:t xml:space="preserve">. Sadržaj nitrata </w:t>
      </w:r>
      <w:r w:rsidRPr="00B92EC4">
        <w:rPr>
          <w:rFonts w:ascii="Arial" w:hAnsi="Arial" w:cs="Arial"/>
          <w:iCs/>
          <w:sz w:val="20"/>
          <w:szCs w:val="20"/>
        </w:rPr>
        <w:t>(N − NO</w:t>
      </w:r>
      <w:r w:rsidRPr="00B92EC4">
        <w:rPr>
          <w:rFonts w:ascii="Arial" w:hAnsi="Arial" w:cs="Arial"/>
          <w:iCs/>
          <w:sz w:val="20"/>
          <w:szCs w:val="20"/>
          <w:vertAlign w:val="subscript"/>
        </w:rPr>
        <w:t>3</w:t>
      </w:r>
      <w:r w:rsidRPr="00B92EC4">
        <w:rPr>
          <w:rFonts w:ascii="Arial" w:hAnsi="Arial" w:cs="Arial"/>
          <w:iCs/>
          <w:sz w:val="20"/>
          <w:szCs w:val="20"/>
          <w:vertAlign w:val="superscript"/>
        </w:rPr>
        <w:t>-</w:t>
      </w:r>
      <w:r w:rsidRPr="00B92EC4">
        <w:rPr>
          <w:rFonts w:ascii="Arial" w:hAnsi="Arial" w:cs="Arial"/>
          <w:iCs/>
          <w:sz w:val="20"/>
          <w:szCs w:val="20"/>
        </w:rPr>
        <w:t>)</w:t>
      </w:r>
      <w:r w:rsidRPr="007A2555">
        <w:rPr>
          <w:rFonts w:ascii="Arial" w:hAnsi="Arial" w:cs="Arial"/>
          <w:b/>
          <w:iCs/>
          <w:sz w:val="20"/>
          <w:szCs w:val="20"/>
        </w:rPr>
        <w:t xml:space="preserve"> </w:t>
      </w:r>
      <w:r w:rsidRPr="007A2555">
        <w:rPr>
          <w:rFonts w:ascii="Arial" w:hAnsi="Arial" w:cs="Arial"/>
          <w:iCs/>
          <w:sz w:val="20"/>
          <w:szCs w:val="20"/>
        </w:rPr>
        <w:t>na istraživačkim  postajama</w:t>
      </w:r>
      <w:r>
        <w:rPr>
          <w:rFonts w:ascii="Arial" w:hAnsi="Arial" w:cs="Arial"/>
          <w:iCs/>
          <w:sz w:val="20"/>
          <w:szCs w:val="20"/>
        </w:rPr>
        <w:t xml:space="preserve"> po mjesecima i srednje vrijednosti za cijelo razdoblje istraživanja</w:t>
      </w:r>
    </w:p>
    <w:p w14:paraId="16A9F696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</w:p>
    <w:p w14:paraId="11659244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</w:p>
    <w:p w14:paraId="00A8EFE8" w14:textId="77777777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lastRenderedPageBreak/>
        <w:t xml:space="preserve">Najviša vrijednost za električnu vodljivost izmjerena je na postaji Kupa kupalište, a najmanja kod </w:t>
      </w:r>
      <w:proofErr w:type="spellStart"/>
      <w:r w:rsidRPr="007A2555">
        <w:rPr>
          <w:rFonts w:ascii="Arial" w:hAnsi="Arial" w:cs="Arial"/>
          <w:sz w:val="20"/>
          <w:szCs w:val="20"/>
        </w:rPr>
        <w:t>Bernićeva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mosta</w:t>
      </w:r>
      <w:r>
        <w:rPr>
          <w:rFonts w:ascii="Arial" w:hAnsi="Arial" w:cs="Arial"/>
          <w:sz w:val="20"/>
          <w:szCs w:val="20"/>
        </w:rPr>
        <w:t xml:space="preserve">. Također smo mjerili fosfate na svim postajama, ali je njihova koncentracija bila ispod razine detekcije naše metode. </w:t>
      </w:r>
    </w:p>
    <w:p w14:paraId="6C084968" w14:textId="77777777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Na našim postaj</w:t>
      </w:r>
      <w:r>
        <w:rPr>
          <w:rFonts w:ascii="Arial" w:hAnsi="Arial" w:cs="Arial"/>
          <w:sz w:val="20"/>
          <w:szCs w:val="20"/>
        </w:rPr>
        <w:t>ama smo identificirali ukupno 12</w:t>
      </w:r>
      <w:r w:rsidRPr="007A2555">
        <w:rPr>
          <w:rFonts w:ascii="Arial" w:hAnsi="Arial" w:cs="Arial"/>
          <w:sz w:val="20"/>
          <w:szCs w:val="20"/>
        </w:rPr>
        <w:t xml:space="preserve"> svojti </w:t>
      </w:r>
      <w:proofErr w:type="spellStart"/>
      <w:r w:rsidRPr="007A2555">
        <w:rPr>
          <w:rFonts w:ascii="Arial" w:hAnsi="Arial" w:cs="Arial"/>
          <w:sz w:val="20"/>
          <w:szCs w:val="20"/>
        </w:rPr>
        <w:t>makrozoobentosa</w:t>
      </w:r>
      <w:proofErr w:type="spellEnd"/>
      <w:r>
        <w:rPr>
          <w:rFonts w:ascii="Arial" w:hAnsi="Arial" w:cs="Arial"/>
          <w:sz w:val="20"/>
          <w:szCs w:val="20"/>
        </w:rPr>
        <w:t xml:space="preserve"> (Tablica 2.)</w:t>
      </w:r>
      <w:r w:rsidRPr="007A2555">
        <w:rPr>
          <w:rFonts w:ascii="Arial" w:hAnsi="Arial" w:cs="Arial"/>
          <w:sz w:val="20"/>
          <w:szCs w:val="20"/>
        </w:rPr>
        <w:t xml:space="preserve">. Možemo vidjeti da su na postaji </w:t>
      </w:r>
      <w:proofErr w:type="spellStart"/>
      <w:r w:rsidRPr="007A2555">
        <w:rPr>
          <w:rFonts w:ascii="Arial" w:hAnsi="Arial" w:cs="Arial"/>
          <w:sz w:val="20"/>
          <w:szCs w:val="20"/>
        </w:rPr>
        <w:t>Bernićev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most najzastupljeniji </w:t>
      </w:r>
      <w:proofErr w:type="spellStart"/>
      <w:r w:rsidRPr="007A2555">
        <w:rPr>
          <w:rFonts w:ascii="Arial" w:hAnsi="Arial" w:cs="Arial"/>
          <w:sz w:val="20"/>
          <w:szCs w:val="20"/>
        </w:rPr>
        <w:t>Diptera</w:t>
      </w:r>
      <w:proofErr w:type="spellEnd"/>
      <w:r w:rsidRPr="007A2555">
        <w:rPr>
          <w:rFonts w:ascii="Arial" w:hAnsi="Arial" w:cs="Arial"/>
          <w:sz w:val="20"/>
          <w:szCs w:val="20"/>
        </w:rPr>
        <w:t>-dvokrilci, kao što je bio slučaj</w:t>
      </w:r>
      <w:r>
        <w:rPr>
          <w:rFonts w:ascii="Arial" w:hAnsi="Arial" w:cs="Arial"/>
          <w:sz w:val="20"/>
          <w:szCs w:val="20"/>
        </w:rPr>
        <w:t xml:space="preserve"> i u našim prethodnim mjerenjima</w:t>
      </w:r>
      <w:r w:rsidRPr="007A2555">
        <w:rPr>
          <w:rFonts w:ascii="Arial" w:hAnsi="Arial" w:cs="Arial"/>
          <w:sz w:val="20"/>
          <w:szCs w:val="20"/>
        </w:rPr>
        <w:t xml:space="preserve">. No sada smo pronašli u velikom broju i </w:t>
      </w:r>
      <w:proofErr w:type="spellStart"/>
      <w:r w:rsidRPr="007A2555">
        <w:rPr>
          <w:rFonts w:ascii="Arial" w:hAnsi="Arial" w:cs="Arial"/>
          <w:sz w:val="20"/>
          <w:szCs w:val="20"/>
        </w:rPr>
        <w:t>Plecoptera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A2555">
        <w:rPr>
          <w:rFonts w:ascii="Arial" w:hAnsi="Arial" w:cs="Arial"/>
          <w:sz w:val="20"/>
          <w:szCs w:val="20"/>
        </w:rPr>
        <w:t>obalčare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koje do sada na </w:t>
      </w:r>
      <w:proofErr w:type="spellStart"/>
      <w:r w:rsidRPr="007A2555">
        <w:rPr>
          <w:rFonts w:ascii="Arial" w:hAnsi="Arial" w:cs="Arial"/>
          <w:sz w:val="20"/>
          <w:szCs w:val="20"/>
        </w:rPr>
        <w:t>Bernićevom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mostu nismo nalazili.</w:t>
      </w:r>
    </w:p>
    <w:p w14:paraId="14F5087B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 xml:space="preserve">Kada govorimo o tipovima staništa na ovoj je postaji dno kamenito, a uz rubove pjeskovito i muljevito, dok pri nižim vodostajima uz sam rub postaje i na srednjem  plićem dijelu ima izraslog vodenog bilja i trave. </w:t>
      </w:r>
    </w:p>
    <w:p w14:paraId="175312B4" w14:textId="3AAC5252" w:rsidR="00457C7B" w:rsidRPr="007A2555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 xml:space="preserve">Tablica </w:t>
      </w:r>
      <w:r>
        <w:rPr>
          <w:rFonts w:ascii="Arial" w:hAnsi="Arial" w:cs="Arial"/>
          <w:sz w:val="20"/>
          <w:szCs w:val="20"/>
        </w:rPr>
        <w:t>2</w:t>
      </w:r>
      <w:r w:rsidRPr="007A25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A2555">
        <w:rPr>
          <w:rFonts w:ascii="Arial" w:hAnsi="Arial" w:cs="Arial"/>
          <w:sz w:val="20"/>
          <w:szCs w:val="20"/>
        </w:rPr>
        <w:t xml:space="preserve">Identificirane svojte </w:t>
      </w:r>
      <w:proofErr w:type="spellStart"/>
      <w:r>
        <w:rPr>
          <w:rFonts w:ascii="Arial" w:hAnsi="Arial" w:cs="Arial"/>
          <w:sz w:val="20"/>
          <w:szCs w:val="20"/>
        </w:rPr>
        <w:t>makrozoobentosa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A4367">
        <w:rPr>
          <w:rFonts w:ascii="Arial" w:hAnsi="Arial" w:cs="Arial"/>
          <w:sz w:val="20"/>
          <w:szCs w:val="20"/>
        </w:rPr>
        <w:t>(</w:t>
      </w:r>
      <w:r w:rsidR="006B7187">
        <w:rPr>
          <w:rFonts w:ascii="Arial" w:hAnsi="Arial" w:cs="Arial"/>
          <w:sz w:val="20"/>
          <w:szCs w:val="20"/>
        </w:rPr>
        <w:t>ukupan broj</w:t>
      </w:r>
      <w:r w:rsidR="00EA4367">
        <w:rPr>
          <w:rFonts w:ascii="Arial" w:hAnsi="Arial" w:cs="Arial"/>
          <w:sz w:val="20"/>
          <w:szCs w:val="20"/>
        </w:rPr>
        <w:t>)</w:t>
      </w:r>
      <w:r w:rsidR="006B7187">
        <w:rPr>
          <w:rFonts w:ascii="Arial" w:hAnsi="Arial" w:cs="Arial"/>
          <w:sz w:val="20"/>
          <w:szCs w:val="20"/>
        </w:rPr>
        <w:t xml:space="preserve"> </w:t>
      </w:r>
      <w:r w:rsidRPr="007A2555">
        <w:rPr>
          <w:rFonts w:ascii="Arial" w:hAnsi="Arial" w:cs="Arial"/>
          <w:sz w:val="20"/>
          <w:szCs w:val="20"/>
        </w:rPr>
        <w:t>na svim mjernim postajama</w:t>
      </w:r>
      <w:r>
        <w:rPr>
          <w:rFonts w:ascii="Arial" w:hAnsi="Arial" w:cs="Arial"/>
          <w:sz w:val="20"/>
          <w:szCs w:val="20"/>
        </w:rPr>
        <w:t xml:space="preserve"> </w:t>
      </w:r>
      <w:r w:rsidRPr="007A2555">
        <w:rPr>
          <w:rFonts w:ascii="Arial" w:hAnsi="Arial" w:cs="Arial"/>
          <w:sz w:val="20"/>
          <w:szCs w:val="20"/>
        </w:rPr>
        <w:t>:</w:t>
      </w:r>
    </w:p>
    <w:tbl>
      <w:tblPr>
        <w:tblStyle w:val="Reetkatablice1"/>
        <w:tblW w:w="9190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2583"/>
        <w:gridCol w:w="1150"/>
        <w:gridCol w:w="1437"/>
        <w:gridCol w:w="1438"/>
        <w:gridCol w:w="1581"/>
        <w:gridCol w:w="1001"/>
      </w:tblGrid>
      <w:tr w:rsidR="00457C7B" w:rsidRPr="007A2555" w14:paraId="6B3CB572" w14:textId="77777777" w:rsidTr="005B7BC0">
        <w:trPr>
          <w:trHeight w:val="372"/>
        </w:trPr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149D2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sz w:val="20"/>
                <w:szCs w:val="20"/>
              </w:rPr>
              <w:t xml:space="preserve">Svojta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79F399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Bernićev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most 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14:paraId="6E832D84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Petrinjčica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prije utoke 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</w:tcPr>
          <w:p w14:paraId="39760163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sz w:val="20"/>
                <w:szCs w:val="20"/>
              </w:rPr>
              <w:t>Kupa kupalište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0041C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sz w:val="20"/>
                <w:szCs w:val="20"/>
              </w:rPr>
              <w:t xml:space="preserve">Kupa poslije utoke 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A9B83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</w:tr>
      <w:tr w:rsidR="00457C7B" w:rsidRPr="007A2555" w14:paraId="3A20BB42" w14:textId="77777777" w:rsidTr="005B7BC0">
        <w:trPr>
          <w:trHeight w:val="390"/>
        </w:trPr>
        <w:tc>
          <w:tcPr>
            <w:tcW w:w="2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09D3D9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Ephemeroptera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B10E200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0769B">
              <w:rPr>
                <w:rFonts w:ascii="Arial" w:hAnsi="Arial" w:cs="Arial"/>
                <w:sz w:val="20"/>
                <w:szCs w:val="20"/>
              </w:rPr>
              <w:t>odencvijetovi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(ličinke)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1BB26B7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12" w:space="0" w:color="auto"/>
            </w:tcBorders>
            <w:vAlign w:val="bottom"/>
          </w:tcPr>
          <w:p w14:paraId="13C9191E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vAlign w:val="bottom"/>
          </w:tcPr>
          <w:p w14:paraId="24D55730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77E8443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BA4BE2E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57C7B" w:rsidRPr="007A2555" w14:paraId="6729FA92" w14:textId="77777777" w:rsidTr="005B7BC0">
        <w:trPr>
          <w:trHeight w:val="595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14BCB6EF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Diptera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- dvokrilci </w:t>
            </w:r>
          </w:p>
          <w:p w14:paraId="26C2AE24" w14:textId="77777777" w:rsidR="00457C7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Chironomidae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14:paraId="159F6137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trzalci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69B">
              <w:rPr>
                <w:rFonts w:ascii="Arial" w:hAnsi="Arial" w:cs="Arial"/>
                <w:sz w:val="20"/>
                <w:szCs w:val="20"/>
              </w:rPr>
              <w:t>(ličinke)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1E612F0F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37" w:type="dxa"/>
            <w:vAlign w:val="bottom"/>
          </w:tcPr>
          <w:p w14:paraId="11570F25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8" w:type="dxa"/>
            <w:vAlign w:val="bottom"/>
          </w:tcPr>
          <w:p w14:paraId="53ECB6DD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3B300D82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D830A2B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</w:tr>
      <w:tr w:rsidR="00457C7B" w:rsidRPr="007A2555" w14:paraId="2F4BC242" w14:textId="77777777" w:rsidTr="005B7BC0">
        <w:trPr>
          <w:trHeight w:val="399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507EA2E8" w14:textId="77777777" w:rsidR="00457C7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Simuli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0769B">
              <w:rPr>
                <w:rFonts w:ascii="Arial" w:hAnsi="Arial" w:cs="Arial"/>
                <w:sz w:val="20"/>
                <w:szCs w:val="20"/>
              </w:rPr>
              <w:t>dae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253C7F64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6B718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vrbljivice</w:t>
            </w:r>
            <w:proofErr w:type="spellEnd"/>
            <w:r w:rsidR="006B7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69B">
              <w:rPr>
                <w:rFonts w:ascii="Arial" w:hAnsi="Arial" w:cs="Arial"/>
                <w:sz w:val="20"/>
                <w:szCs w:val="20"/>
              </w:rPr>
              <w:t>(ličinke)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1CEFE264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bottom"/>
          </w:tcPr>
          <w:p w14:paraId="39CCDF9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vAlign w:val="bottom"/>
          </w:tcPr>
          <w:p w14:paraId="03AB2FE1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595873C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5F47A1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57C7B" w:rsidRPr="007A2555" w14:paraId="38F4ECFA" w14:textId="77777777" w:rsidTr="005B7BC0">
        <w:trPr>
          <w:trHeight w:val="399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08681E7E" w14:textId="77777777" w:rsidR="00457C7B" w:rsidRDefault="006B7187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57C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7C7B" w:rsidRPr="00E0769B">
              <w:rPr>
                <w:rFonts w:ascii="Arial" w:hAnsi="Arial" w:cs="Arial"/>
                <w:sz w:val="20"/>
                <w:szCs w:val="20"/>
              </w:rPr>
              <w:t>Simul</w:t>
            </w:r>
            <w:r w:rsidR="00457C7B">
              <w:rPr>
                <w:rFonts w:ascii="Arial" w:hAnsi="Arial" w:cs="Arial"/>
                <w:sz w:val="20"/>
                <w:szCs w:val="20"/>
              </w:rPr>
              <w:t>i</w:t>
            </w:r>
            <w:r w:rsidR="00457C7B" w:rsidRPr="00E0769B">
              <w:rPr>
                <w:rFonts w:ascii="Arial" w:hAnsi="Arial" w:cs="Arial"/>
                <w:sz w:val="20"/>
                <w:szCs w:val="20"/>
              </w:rPr>
              <w:t>idae</w:t>
            </w:r>
            <w:proofErr w:type="spellEnd"/>
            <w:r w:rsidR="00457C7B" w:rsidRPr="00E07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7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D668A50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svrbljivice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69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kukljice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01D4DDEE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7" w:type="dxa"/>
            <w:vAlign w:val="bottom"/>
          </w:tcPr>
          <w:p w14:paraId="5E52B625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vAlign w:val="bottom"/>
          </w:tcPr>
          <w:p w14:paraId="26229C9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18DEDE1F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FC0FBF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457C7B" w:rsidRPr="007A2555" w14:paraId="04A1B741" w14:textId="77777777" w:rsidTr="005B7BC0">
        <w:trPr>
          <w:trHeight w:val="399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2733FD73" w14:textId="77777777" w:rsidR="00457C7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Tipulidae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8EFB53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(ličinke)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584C4AC2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7" w:type="dxa"/>
            <w:vAlign w:val="bottom"/>
          </w:tcPr>
          <w:p w14:paraId="01DCE9BE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8" w:type="dxa"/>
            <w:vAlign w:val="bottom"/>
          </w:tcPr>
          <w:p w14:paraId="12FFDBC4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7C9EBB74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8A4C65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457C7B" w:rsidRPr="007A2555" w14:paraId="34002EF9" w14:textId="77777777" w:rsidTr="005B7BC0">
        <w:trPr>
          <w:trHeight w:val="390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4AFFF621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Coleoptera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>-kornjaši</w:t>
            </w:r>
            <w:r w:rsidR="006B7187">
              <w:rPr>
                <w:rFonts w:ascii="Arial" w:hAnsi="Arial" w:cs="Arial"/>
                <w:sz w:val="20"/>
                <w:szCs w:val="20"/>
              </w:rPr>
              <w:t xml:space="preserve"> (ličinke)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58922EB2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bottom"/>
          </w:tcPr>
          <w:p w14:paraId="7B165347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vAlign w:val="bottom"/>
          </w:tcPr>
          <w:p w14:paraId="2285CB39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01D20A13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D92F80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457C7B" w:rsidRPr="007A2555" w14:paraId="2CCFADD1" w14:textId="77777777" w:rsidTr="005B7BC0">
        <w:trPr>
          <w:trHeight w:val="399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0616DF67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Plecoptera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obalčari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(ličinke)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368516D6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7" w:type="dxa"/>
            <w:vAlign w:val="bottom"/>
          </w:tcPr>
          <w:p w14:paraId="2AC9CDD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8" w:type="dxa"/>
            <w:vAlign w:val="bottom"/>
          </w:tcPr>
          <w:p w14:paraId="1AEB3AA7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4D35E851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1E487D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457C7B" w:rsidRPr="007A2555" w14:paraId="1BC44D80" w14:textId="77777777" w:rsidTr="005B7BC0">
        <w:trPr>
          <w:trHeight w:val="195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364BEC90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Trichoptera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tulari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(ličinke)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19BF2EA6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bottom"/>
          </w:tcPr>
          <w:p w14:paraId="566D6414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vAlign w:val="bottom"/>
          </w:tcPr>
          <w:p w14:paraId="3DA541EF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07DF5288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6DE3AE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57C7B" w:rsidRPr="007A2555" w14:paraId="375BA099" w14:textId="77777777" w:rsidTr="005B7BC0">
        <w:trPr>
          <w:trHeight w:val="399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54DDDF52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Crustacea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-rakovi </w:t>
            </w:r>
          </w:p>
          <w:p w14:paraId="5ECD32FD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Amphipoda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 rakušci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012A0AD3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vAlign w:val="bottom"/>
          </w:tcPr>
          <w:p w14:paraId="44EDFE3E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8" w:type="dxa"/>
            <w:vAlign w:val="bottom"/>
          </w:tcPr>
          <w:p w14:paraId="793F7633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12A67A7E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B5DFE9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57C7B" w:rsidRPr="007A2555" w14:paraId="243F3B7D" w14:textId="77777777" w:rsidTr="005B7BC0">
        <w:trPr>
          <w:trHeight w:val="195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512CD4D7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Oligochaeta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maločetinaši</w:t>
            </w:r>
            <w:proofErr w:type="spellEnd"/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3FEE0BFB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vAlign w:val="bottom"/>
          </w:tcPr>
          <w:p w14:paraId="2A4E67CA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8" w:type="dxa"/>
            <w:vAlign w:val="bottom"/>
          </w:tcPr>
          <w:p w14:paraId="1CF06E6D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4EC90E5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38B332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457C7B" w:rsidRPr="007A2555" w14:paraId="0FEE19F1" w14:textId="77777777" w:rsidTr="005B7BC0">
        <w:trPr>
          <w:trHeight w:val="204"/>
        </w:trPr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14:paraId="28D9F856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Nematod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 xml:space="preserve">-oblići 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vAlign w:val="bottom"/>
          </w:tcPr>
          <w:p w14:paraId="4D18D17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vAlign w:val="bottom"/>
          </w:tcPr>
          <w:p w14:paraId="4C295E82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vAlign w:val="bottom"/>
          </w:tcPr>
          <w:p w14:paraId="6A1B809C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bottom"/>
          </w:tcPr>
          <w:p w14:paraId="3C21C347" w14:textId="77777777" w:rsidR="00457C7B" w:rsidRPr="00E0769B" w:rsidRDefault="00457C7B" w:rsidP="006B7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4D5621" w14:textId="77777777" w:rsidR="00457C7B" w:rsidRPr="00E0769B" w:rsidRDefault="00457C7B" w:rsidP="006B71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57C7B" w:rsidRPr="007A2555" w14:paraId="7BD32292" w14:textId="77777777" w:rsidTr="005B7BC0">
        <w:trPr>
          <w:trHeight w:val="185"/>
        </w:trPr>
        <w:tc>
          <w:tcPr>
            <w:tcW w:w="2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5E008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69B">
              <w:rPr>
                <w:rFonts w:ascii="Arial" w:hAnsi="Arial" w:cs="Arial"/>
                <w:sz w:val="20"/>
                <w:szCs w:val="20"/>
              </w:rPr>
              <w:t>Gastropoda</w:t>
            </w:r>
            <w:proofErr w:type="spellEnd"/>
            <w:r w:rsidRPr="00E0769B">
              <w:rPr>
                <w:rFonts w:ascii="Arial" w:hAnsi="Arial" w:cs="Arial"/>
                <w:sz w:val="20"/>
                <w:szCs w:val="20"/>
              </w:rPr>
              <w:t>-puževi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B507690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bottom"/>
          </w:tcPr>
          <w:p w14:paraId="48E13C1E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bottom"/>
          </w:tcPr>
          <w:p w14:paraId="03CC2185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92E9DE5" w14:textId="77777777" w:rsidR="00457C7B" w:rsidRPr="00E0769B" w:rsidRDefault="00457C7B" w:rsidP="005B7B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6C24F9" w14:textId="77777777" w:rsidR="00457C7B" w:rsidRPr="00E0769B" w:rsidRDefault="00457C7B" w:rsidP="005B7B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57C7B" w:rsidRPr="007A2555" w14:paraId="6B037B3D" w14:textId="77777777" w:rsidTr="005B7BC0">
        <w:trPr>
          <w:trHeight w:val="152"/>
        </w:trPr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22B21" w14:textId="77777777" w:rsidR="00457C7B" w:rsidRPr="00E0769B" w:rsidRDefault="00457C7B" w:rsidP="005B7B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89D8701" w14:textId="77777777" w:rsidR="00457C7B" w:rsidRPr="00E0769B" w:rsidRDefault="00457C7B" w:rsidP="005B7B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E50E822" w14:textId="77777777" w:rsidR="00457C7B" w:rsidRPr="00E0769B" w:rsidRDefault="00457C7B" w:rsidP="005B7B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0E65817" w14:textId="77777777" w:rsidR="00457C7B" w:rsidRPr="00E0769B" w:rsidRDefault="00457C7B" w:rsidP="005B7B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CE2806" w14:textId="77777777" w:rsidR="00457C7B" w:rsidRPr="00E0769B" w:rsidRDefault="00457C7B" w:rsidP="005B7B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3476" w14:textId="77777777" w:rsidR="00457C7B" w:rsidRPr="00E0769B" w:rsidRDefault="00457C7B" w:rsidP="005B7B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769B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</w:tr>
    </w:tbl>
    <w:p w14:paraId="7F9BD468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</w:p>
    <w:p w14:paraId="1830A6B9" w14:textId="55E5C40D" w:rsidR="00457C7B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 xml:space="preserve">Sam rub </w:t>
      </w:r>
      <w:proofErr w:type="spellStart"/>
      <w:r>
        <w:rPr>
          <w:rFonts w:ascii="Arial" w:hAnsi="Arial" w:cs="Arial"/>
          <w:sz w:val="20"/>
          <w:szCs w:val="20"/>
        </w:rPr>
        <w:t>Petrinjčice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betoniran </w:t>
      </w:r>
      <w:r w:rsidR="00853910" w:rsidRPr="00853910">
        <w:rPr>
          <w:rFonts w:ascii="Arial" w:hAnsi="Arial" w:cs="Arial"/>
          <w:sz w:val="20"/>
          <w:szCs w:val="20"/>
        </w:rPr>
        <w:t xml:space="preserve">je </w:t>
      </w:r>
      <w:r w:rsidRPr="007A2555">
        <w:rPr>
          <w:rFonts w:ascii="Arial" w:hAnsi="Arial" w:cs="Arial"/>
          <w:sz w:val="20"/>
          <w:szCs w:val="20"/>
        </w:rPr>
        <w:t xml:space="preserve">do samoga ušća. Idući nizvodno, dno postaje sve </w:t>
      </w:r>
      <w:r w:rsidR="00853910">
        <w:rPr>
          <w:rFonts w:ascii="Arial" w:hAnsi="Arial" w:cs="Arial"/>
          <w:sz w:val="20"/>
          <w:szCs w:val="20"/>
        </w:rPr>
        <w:t>pjeskovitije</w:t>
      </w:r>
      <w:r>
        <w:rPr>
          <w:rFonts w:ascii="Arial" w:hAnsi="Arial" w:cs="Arial"/>
          <w:sz w:val="20"/>
          <w:szCs w:val="20"/>
        </w:rPr>
        <w:t xml:space="preserve"> i </w:t>
      </w:r>
      <w:r w:rsidR="005B7BC0">
        <w:rPr>
          <w:rFonts w:ascii="Arial" w:hAnsi="Arial" w:cs="Arial"/>
          <w:sz w:val="20"/>
          <w:szCs w:val="20"/>
        </w:rPr>
        <w:t xml:space="preserve">muljevito. </w:t>
      </w:r>
      <w:r>
        <w:rPr>
          <w:rFonts w:ascii="Arial" w:hAnsi="Arial" w:cs="Arial"/>
          <w:sz w:val="20"/>
          <w:szCs w:val="20"/>
        </w:rPr>
        <w:t xml:space="preserve">Prije utoke </w:t>
      </w:r>
      <w:proofErr w:type="spellStart"/>
      <w:r>
        <w:rPr>
          <w:rFonts w:ascii="Arial" w:hAnsi="Arial" w:cs="Arial"/>
          <w:sz w:val="20"/>
          <w:szCs w:val="20"/>
        </w:rPr>
        <w:t>Petrinjčice</w:t>
      </w:r>
      <w:proofErr w:type="spellEnd"/>
      <w:r>
        <w:rPr>
          <w:rFonts w:ascii="Arial" w:hAnsi="Arial" w:cs="Arial"/>
          <w:sz w:val="20"/>
          <w:szCs w:val="20"/>
        </w:rPr>
        <w:t xml:space="preserve"> u rijeku Kupu na oko 950 m pronašli smo kanalizacijski ispust.</w:t>
      </w:r>
      <w:r w:rsidR="00A15CA8">
        <w:rPr>
          <w:rFonts w:ascii="Arial" w:hAnsi="Arial" w:cs="Arial"/>
          <w:sz w:val="20"/>
          <w:szCs w:val="20"/>
        </w:rPr>
        <w:t xml:space="preserve"> </w:t>
      </w:r>
      <w:r w:rsidR="005B7BC0">
        <w:rPr>
          <w:rFonts w:ascii="Arial" w:hAnsi="Arial" w:cs="Arial"/>
          <w:sz w:val="20"/>
          <w:szCs w:val="20"/>
        </w:rPr>
        <w:t xml:space="preserve">Postaja </w:t>
      </w:r>
      <w:proofErr w:type="spellStart"/>
      <w:r w:rsidR="005B7BC0">
        <w:rPr>
          <w:rFonts w:ascii="Arial" w:hAnsi="Arial" w:cs="Arial"/>
          <w:sz w:val="20"/>
          <w:szCs w:val="20"/>
        </w:rPr>
        <w:t>Petrinjčica</w:t>
      </w:r>
      <w:proofErr w:type="spellEnd"/>
      <w:r w:rsidR="005B7BC0">
        <w:rPr>
          <w:rFonts w:ascii="Arial" w:hAnsi="Arial" w:cs="Arial"/>
          <w:sz w:val="20"/>
          <w:szCs w:val="20"/>
        </w:rPr>
        <w:t xml:space="preserve"> prije utoke </w:t>
      </w:r>
      <w:r w:rsidR="00A15CA8">
        <w:rPr>
          <w:rFonts w:ascii="Arial" w:hAnsi="Arial" w:cs="Arial"/>
          <w:sz w:val="20"/>
          <w:szCs w:val="20"/>
        </w:rPr>
        <w:t>pjeskovita</w:t>
      </w:r>
      <w:r w:rsidR="00853910" w:rsidRPr="00853910">
        <w:t xml:space="preserve"> </w:t>
      </w:r>
      <w:r w:rsidR="00853910" w:rsidRPr="00853910">
        <w:rPr>
          <w:rFonts w:ascii="Arial" w:hAnsi="Arial" w:cs="Arial"/>
          <w:sz w:val="20"/>
          <w:szCs w:val="20"/>
        </w:rPr>
        <w:t>je</w:t>
      </w:r>
      <w:r w:rsidR="00A15CA8">
        <w:rPr>
          <w:rFonts w:ascii="Arial" w:hAnsi="Arial" w:cs="Arial"/>
          <w:sz w:val="20"/>
          <w:szCs w:val="20"/>
        </w:rPr>
        <w:t xml:space="preserve">, ima </w:t>
      </w:r>
      <w:r w:rsidR="00853910">
        <w:rPr>
          <w:rFonts w:ascii="Arial" w:hAnsi="Arial" w:cs="Arial"/>
          <w:sz w:val="20"/>
          <w:szCs w:val="20"/>
        </w:rPr>
        <w:t>nanesenog</w:t>
      </w:r>
      <w:r w:rsidR="00A15CA8">
        <w:rPr>
          <w:rFonts w:ascii="Arial" w:hAnsi="Arial" w:cs="Arial"/>
          <w:sz w:val="20"/>
          <w:szCs w:val="20"/>
        </w:rPr>
        <w:t xml:space="preserve"> </w:t>
      </w:r>
      <w:r w:rsidR="00853910">
        <w:rPr>
          <w:rFonts w:ascii="Arial" w:hAnsi="Arial" w:cs="Arial"/>
          <w:sz w:val="20"/>
          <w:szCs w:val="20"/>
        </w:rPr>
        <w:t xml:space="preserve">granja i </w:t>
      </w:r>
      <w:proofErr w:type="spellStart"/>
      <w:r w:rsidR="00853910">
        <w:rPr>
          <w:rFonts w:ascii="Arial" w:hAnsi="Arial" w:cs="Arial"/>
          <w:sz w:val="20"/>
          <w:szCs w:val="20"/>
        </w:rPr>
        <w:t>ujezerenja</w:t>
      </w:r>
      <w:proofErr w:type="spellEnd"/>
      <w:r w:rsidR="00853910">
        <w:rPr>
          <w:rFonts w:ascii="Arial" w:hAnsi="Arial" w:cs="Arial"/>
          <w:sz w:val="20"/>
          <w:szCs w:val="20"/>
        </w:rPr>
        <w:t>.</w:t>
      </w:r>
      <w:r w:rsidRPr="007A2555">
        <w:rPr>
          <w:rFonts w:ascii="Arial" w:hAnsi="Arial" w:cs="Arial"/>
          <w:sz w:val="20"/>
          <w:szCs w:val="20"/>
        </w:rPr>
        <w:t xml:space="preserve"> </w:t>
      </w:r>
      <w:r w:rsidR="005B7BC0" w:rsidRPr="005B7BC0">
        <w:rPr>
          <w:rFonts w:ascii="Arial" w:hAnsi="Arial" w:cs="Arial"/>
          <w:sz w:val="20"/>
          <w:szCs w:val="20"/>
        </w:rPr>
        <w:t xml:space="preserve">Na postaji Kupa kupalište dno je pjeskovito sa sitnim rijetkim kamenčićima, dok </w:t>
      </w:r>
      <w:r w:rsidR="00853910">
        <w:rPr>
          <w:rFonts w:ascii="Arial" w:hAnsi="Arial" w:cs="Arial"/>
          <w:sz w:val="20"/>
          <w:szCs w:val="20"/>
        </w:rPr>
        <w:t xml:space="preserve">je poslije ušća ono </w:t>
      </w:r>
      <w:bookmarkStart w:id="0" w:name="_GoBack"/>
      <w:bookmarkEnd w:id="0"/>
      <w:r w:rsidR="005B7BC0" w:rsidRPr="005B7BC0">
        <w:rPr>
          <w:rFonts w:ascii="Arial" w:hAnsi="Arial" w:cs="Arial"/>
          <w:sz w:val="20"/>
          <w:szCs w:val="20"/>
        </w:rPr>
        <w:t xml:space="preserve">pjeskovito i muljevito, uz rubove obraslo drvećem. Sve </w:t>
      </w:r>
      <w:r w:rsidR="00853910">
        <w:rPr>
          <w:rFonts w:ascii="Arial" w:hAnsi="Arial" w:cs="Arial"/>
          <w:sz w:val="20"/>
          <w:szCs w:val="20"/>
        </w:rPr>
        <w:t>smo postaje  fotografirali.</w:t>
      </w:r>
    </w:p>
    <w:p w14:paraId="1D78D450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66446620" wp14:editId="690EBE8D">
            <wp:extent cx="5998191" cy="2647666"/>
            <wp:effectExtent l="0" t="0" r="3175" b="635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75B104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Slika 6. Udio pojedinih skupina </w:t>
      </w:r>
      <w:proofErr w:type="spellStart"/>
      <w:r>
        <w:rPr>
          <w:rFonts w:ascii="Arial" w:hAnsi="Arial" w:cs="Arial"/>
          <w:sz w:val="20"/>
          <w:szCs w:val="20"/>
        </w:rPr>
        <w:t>makrozoobentosa</w:t>
      </w:r>
      <w:proofErr w:type="spellEnd"/>
      <w:r>
        <w:rPr>
          <w:rFonts w:ascii="Arial" w:hAnsi="Arial" w:cs="Arial"/>
          <w:sz w:val="20"/>
          <w:szCs w:val="20"/>
        </w:rPr>
        <w:t xml:space="preserve"> u sastavu zajednice na istraživanim postajama.</w:t>
      </w:r>
    </w:p>
    <w:p w14:paraId="2114C9E3" w14:textId="77777777" w:rsidR="00457C7B" w:rsidRDefault="00457C7B" w:rsidP="00457C7B">
      <w:pPr>
        <w:rPr>
          <w:rFonts w:ascii="Arial" w:hAnsi="Arial" w:cs="Arial"/>
          <w:sz w:val="20"/>
          <w:szCs w:val="20"/>
        </w:rPr>
      </w:pPr>
      <w:r w:rsidRPr="007A2555">
        <w:rPr>
          <w:rFonts w:ascii="Arial" w:hAnsi="Arial" w:cs="Arial"/>
          <w:sz w:val="20"/>
          <w:szCs w:val="20"/>
        </w:rPr>
        <w:t>Izračunali smo udio ETP-a na ispitivanim staništima i najveći j</w:t>
      </w:r>
      <w:r>
        <w:rPr>
          <w:rFonts w:ascii="Arial" w:hAnsi="Arial" w:cs="Arial"/>
          <w:sz w:val="20"/>
          <w:szCs w:val="20"/>
        </w:rPr>
        <w:t xml:space="preserve">e na postaji </w:t>
      </w:r>
      <w:proofErr w:type="spellStart"/>
      <w:r>
        <w:rPr>
          <w:rFonts w:ascii="Arial" w:hAnsi="Arial" w:cs="Arial"/>
          <w:sz w:val="20"/>
          <w:szCs w:val="20"/>
        </w:rPr>
        <w:t>Bernićev</w:t>
      </w:r>
      <w:proofErr w:type="spellEnd"/>
      <w:r>
        <w:rPr>
          <w:rFonts w:ascii="Arial" w:hAnsi="Arial" w:cs="Arial"/>
          <w:sz w:val="20"/>
          <w:szCs w:val="20"/>
        </w:rPr>
        <w:t xml:space="preserve"> most (Slika</w:t>
      </w:r>
      <w:r w:rsidR="00AB6DA0">
        <w:rPr>
          <w:rFonts w:ascii="Arial" w:hAnsi="Arial" w:cs="Arial"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>.), zatim</w:t>
      </w:r>
      <w:r w:rsidRPr="007A255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Petrinjčica</w:t>
      </w:r>
      <w:proofErr w:type="spellEnd"/>
      <w:r>
        <w:rPr>
          <w:rFonts w:ascii="Arial" w:hAnsi="Arial" w:cs="Arial"/>
          <w:sz w:val="20"/>
          <w:szCs w:val="20"/>
        </w:rPr>
        <w:t xml:space="preserve"> prije utoke, dok je najniži na </w:t>
      </w:r>
      <w:proofErr w:type="spellStart"/>
      <w:r w:rsidRPr="007A2555">
        <w:rPr>
          <w:rFonts w:ascii="Arial" w:hAnsi="Arial" w:cs="Arial"/>
          <w:sz w:val="20"/>
          <w:szCs w:val="20"/>
        </w:rPr>
        <w:t>na</w:t>
      </w:r>
      <w:proofErr w:type="spellEnd"/>
      <w:r w:rsidRPr="007A2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postaji Kupa kupalište </w:t>
      </w:r>
      <w:r w:rsidRPr="007A2555">
        <w:rPr>
          <w:rFonts w:ascii="Arial" w:hAnsi="Arial" w:cs="Arial"/>
          <w:sz w:val="20"/>
          <w:szCs w:val="20"/>
        </w:rPr>
        <w:t xml:space="preserve">da bi lagano porastao na </w:t>
      </w:r>
      <w:r>
        <w:rPr>
          <w:rFonts w:ascii="Arial" w:hAnsi="Arial" w:cs="Arial"/>
          <w:sz w:val="20"/>
          <w:szCs w:val="20"/>
        </w:rPr>
        <w:t>Kupi nakon ušća</w:t>
      </w:r>
      <w:r w:rsidRPr="007A2555">
        <w:rPr>
          <w:rFonts w:ascii="Arial" w:hAnsi="Arial" w:cs="Arial"/>
          <w:sz w:val="20"/>
          <w:szCs w:val="20"/>
        </w:rPr>
        <w:t>.</w:t>
      </w:r>
    </w:p>
    <w:p w14:paraId="3591BE5D" w14:textId="77777777" w:rsidR="00457C7B" w:rsidRPr="007A2555" w:rsidRDefault="00457C7B" w:rsidP="00457C7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46DF1302" wp14:editId="76E91654">
            <wp:extent cx="4476466" cy="2108579"/>
            <wp:effectExtent l="0" t="0" r="635" b="635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340D8C4" w14:textId="77777777" w:rsidR="00457C7B" w:rsidRPr="007A2555" w:rsidRDefault="00457C7B" w:rsidP="00457C7B">
      <w:pPr>
        <w:rPr>
          <w:rFonts w:ascii="Arial" w:hAnsi="Arial" w:cs="Arial"/>
          <w:iCs/>
          <w:noProof/>
          <w:sz w:val="20"/>
          <w:szCs w:val="20"/>
          <w:lang w:eastAsia="hr-HR"/>
        </w:rPr>
      </w:pPr>
      <w:r>
        <w:rPr>
          <w:rFonts w:ascii="Arial" w:hAnsi="Arial" w:cs="Arial"/>
          <w:iCs/>
          <w:sz w:val="20"/>
          <w:szCs w:val="20"/>
        </w:rPr>
        <w:t xml:space="preserve">Slika </w:t>
      </w:r>
      <w:r w:rsidR="00AB6DA0">
        <w:rPr>
          <w:rFonts w:ascii="Arial" w:hAnsi="Arial" w:cs="Arial"/>
          <w:iCs/>
          <w:sz w:val="20"/>
          <w:szCs w:val="20"/>
        </w:rPr>
        <w:t>7</w:t>
      </w:r>
      <w:r w:rsidRPr="007A2555">
        <w:rPr>
          <w:rFonts w:ascii="Arial" w:hAnsi="Arial" w:cs="Arial"/>
          <w:iCs/>
          <w:sz w:val="20"/>
          <w:szCs w:val="20"/>
        </w:rPr>
        <w:t>. Udio ETP-a na ispitivanim postajama</w:t>
      </w:r>
      <w:r w:rsidRPr="007A2555">
        <w:rPr>
          <w:rFonts w:ascii="Arial" w:hAnsi="Arial" w:cs="Arial"/>
          <w:iCs/>
          <w:noProof/>
          <w:sz w:val="20"/>
          <w:szCs w:val="20"/>
          <w:lang w:eastAsia="hr-HR"/>
        </w:rPr>
        <w:t xml:space="preserve"> </w:t>
      </w:r>
    </w:p>
    <w:p w14:paraId="59C8AF05" w14:textId="23582D4E" w:rsidR="00457C7B" w:rsidRDefault="00457C7B" w:rsidP="00457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</w:t>
      </w:r>
      <w:r w:rsidRPr="007A2555">
        <w:rPr>
          <w:rFonts w:ascii="Arial" w:hAnsi="Arial" w:cs="Arial"/>
          <w:iCs/>
          <w:sz w:val="20"/>
          <w:szCs w:val="20"/>
        </w:rPr>
        <w:t xml:space="preserve">dio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>a</w:t>
      </w:r>
      <w:r w:rsidRPr="007A2555">
        <w:rPr>
          <w:rFonts w:ascii="Arial" w:hAnsi="Arial" w:cs="Arial"/>
          <w:iCs/>
          <w:sz w:val="20"/>
          <w:szCs w:val="20"/>
        </w:rPr>
        <w:t>krobeskralježnjaka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indikatora nečistih voda </w:t>
      </w:r>
      <w:r>
        <w:rPr>
          <w:rFonts w:ascii="Arial" w:hAnsi="Arial" w:cs="Arial"/>
          <w:iCs/>
          <w:sz w:val="20"/>
          <w:szCs w:val="20"/>
        </w:rPr>
        <w:t>o</w:t>
      </w:r>
      <w:r w:rsidRPr="007A2555">
        <w:rPr>
          <w:rFonts w:ascii="Arial" w:hAnsi="Arial" w:cs="Arial"/>
          <w:iCs/>
          <w:sz w:val="20"/>
          <w:szCs w:val="20"/>
        </w:rPr>
        <w:t>blića –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Nematoda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i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maločetinaša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>-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Oligochaetae</w:t>
      </w:r>
      <w:proofErr w:type="spellEnd"/>
      <w:r w:rsidRPr="001C5A19">
        <w:rPr>
          <w:rFonts w:ascii="Arial" w:hAnsi="Arial" w:cs="Arial"/>
          <w:sz w:val="20"/>
          <w:szCs w:val="20"/>
        </w:rPr>
        <w:t xml:space="preserve"> </w:t>
      </w:r>
      <w:r w:rsidRPr="007A255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najnižina</w:t>
      </w:r>
      <w:proofErr w:type="spellEnd"/>
      <w:r>
        <w:rPr>
          <w:rFonts w:ascii="Arial" w:hAnsi="Arial" w:cs="Arial"/>
          <w:sz w:val="20"/>
          <w:szCs w:val="20"/>
        </w:rPr>
        <w:t xml:space="preserve"> postaji </w:t>
      </w:r>
      <w:proofErr w:type="spellStart"/>
      <w:r>
        <w:rPr>
          <w:rFonts w:ascii="Arial" w:hAnsi="Arial" w:cs="Arial"/>
          <w:sz w:val="20"/>
          <w:szCs w:val="20"/>
        </w:rPr>
        <w:t>Bernićev</w:t>
      </w:r>
      <w:proofErr w:type="spellEnd"/>
      <w:r>
        <w:rPr>
          <w:rFonts w:ascii="Arial" w:hAnsi="Arial" w:cs="Arial"/>
          <w:sz w:val="20"/>
          <w:szCs w:val="20"/>
        </w:rPr>
        <w:t xml:space="preserve"> most, a najviši na postaji Kupa kupalište (Slika </w:t>
      </w:r>
      <w:r w:rsidR="00EA436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).</w:t>
      </w:r>
    </w:p>
    <w:p w14:paraId="02EF282A" w14:textId="4513D5A2" w:rsidR="00457C7B" w:rsidRPr="007F45FE" w:rsidRDefault="005E1459" w:rsidP="00457C7B">
      <w:pPr>
        <w:jc w:val="center"/>
        <w:rPr>
          <w:rFonts w:ascii="Arial" w:hAnsi="Arial" w:cs="Arial"/>
          <w:sz w:val="20"/>
          <w:szCs w:val="20"/>
        </w:rPr>
      </w:pPr>
      <w:r w:rsidRPr="005E1459">
        <w:rPr>
          <w:rFonts w:ascii="Arial" w:hAnsi="Arial" w:cs="Arial"/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7089" wp14:editId="66659C63">
                <wp:simplePos x="0" y="0"/>
                <wp:positionH relativeFrom="column">
                  <wp:posOffset>867353</wp:posOffset>
                </wp:positionH>
                <wp:positionV relativeFrom="paragraph">
                  <wp:posOffset>197456</wp:posOffset>
                </wp:positionV>
                <wp:extent cx="354842" cy="2729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42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6695" w14:textId="4FBDC089" w:rsidR="005E1459" w:rsidRDefault="005E1459"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3pt;margin-top:15.55pt;width:27.9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" filled="f" stroked="f">
                <v:textbox>
                  <w:txbxContent>
                    <w:p w14:paraId="6DBF6695" w14:textId="4FBDC089" w:rsidR="005E1459" w:rsidRDefault="005E1459"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7C7B">
        <w:rPr>
          <w:noProof/>
          <w:lang w:eastAsia="hr-HR"/>
        </w:rPr>
        <w:drawing>
          <wp:inline distT="0" distB="0" distL="0" distR="0" wp14:anchorId="670A9637" wp14:editId="5FF7DFFB">
            <wp:extent cx="4018915" cy="2217761"/>
            <wp:effectExtent l="0" t="0" r="19685" b="1143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BE48277" w14:textId="77777777" w:rsidR="00457C7B" w:rsidRDefault="00457C7B" w:rsidP="00457C7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Slika </w:t>
      </w:r>
      <w:r w:rsidR="00AB6DA0">
        <w:rPr>
          <w:rFonts w:ascii="Arial" w:hAnsi="Arial" w:cs="Arial"/>
          <w:iCs/>
          <w:sz w:val="20"/>
          <w:szCs w:val="20"/>
        </w:rPr>
        <w:t>8</w:t>
      </w:r>
      <w:r w:rsidRPr="007A2555">
        <w:rPr>
          <w:rFonts w:ascii="Arial" w:hAnsi="Arial" w:cs="Arial"/>
          <w:iCs/>
          <w:sz w:val="20"/>
          <w:szCs w:val="20"/>
        </w:rPr>
        <w:t xml:space="preserve">. Udio </w:t>
      </w:r>
      <w:proofErr w:type="spellStart"/>
      <w:r w:rsidRPr="007A2555">
        <w:rPr>
          <w:rFonts w:ascii="Arial" w:hAnsi="Arial" w:cs="Arial"/>
          <w:iCs/>
          <w:sz w:val="20"/>
          <w:szCs w:val="20"/>
        </w:rPr>
        <w:t>makrobeskralježnjaka</w:t>
      </w:r>
      <w:proofErr w:type="spellEnd"/>
      <w:r w:rsidRPr="007A2555">
        <w:rPr>
          <w:rFonts w:ascii="Arial" w:hAnsi="Arial" w:cs="Arial"/>
          <w:iCs/>
          <w:sz w:val="20"/>
          <w:szCs w:val="20"/>
        </w:rPr>
        <w:t xml:space="preserve"> indikatora nečistih voda na ispitivanim staništima</w:t>
      </w:r>
    </w:p>
    <w:p w14:paraId="786DD357" w14:textId="735E5825" w:rsidR="00457C7B" w:rsidRDefault="00457C7B" w:rsidP="00457C7B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530D2">
        <w:rPr>
          <w:rFonts w:ascii="Arial" w:hAnsi="Arial" w:cs="Arial"/>
          <w:iCs/>
          <w:sz w:val="20"/>
          <w:szCs w:val="20"/>
        </w:rPr>
        <w:t xml:space="preserve">Računali smo </w:t>
      </w:r>
      <w:proofErr w:type="spellStart"/>
      <w:r w:rsidRPr="009530D2">
        <w:rPr>
          <w:rFonts w:ascii="Arial" w:eastAsia="Times New Roman" w:hAnsi="Arial" w:cs="Arial"/>
          <w:sz w:val="20"/>
          <w:szCs w:val="20"/>
          <w:lang w:eastAsia="hr-HR"/>
        </w:rPr>
        <w:t>Shannon</w:t>
      </w:r>
      <w:proofErr w:type="spellEnd"/>
      <w:r w:rsidRPr="009530D2">
        <w:rPr>
          <w:rFonts w:ascii="Arial" w:eastAsia="Times New Roman" w:hAnsi="Arial" w:cs="Arial"/>
          <w:sz w:val="20"/>
          <w:szCs w:val="20"/>
          <w:lang w:eastAsia="hr-HR"/>
        </w:rPr>
        <w:t>-</w:t>
      </w:r>
      <w:proofErr w:type="spellStart"/>
      <w:r w:rsidRPr="009530D2">
        <w:rPr>
          <w:rFonts w:ascii="Arial" w:eastAsia="Times New Roman" w:hAnsi="Arial" w:cs="Arial"/>
          <w:sz w:val="20"/>
          <w:szCs w:val="20"/>
          <w:lang w:eastAsia="hr-HR"/>
        </w:rPr>
        <w:t>Weiner</w:t>
      </w:r>
      <w:proofErr w:type="spellEnd"/>
      <w:r w:rsidRPr="009530D2">
        <w:rPr>
          <w:rFonts w:ascii="Arial" w:eastAsia="Times New Roman" w:hAnsi="Arial" w:cs="Arial"/>
          <w:sz w:val="20"/>
          <w:szCs w:val="20"/>
          <w:lang w:eastAsia="hr-HR"/>
        </w:rPr>
        <w:t>-</w:t>
      </w:r>
      <w:proofErr w:type="spellStart"/>
      <w:r w:rsidRPr="009530D2">
        <w:rPr>
          <w:rFonts w:ascii="Arial" w:eastAsia="Times New Roman" w:hAnsi="Arial" w:cs="Arial"/>
          <w:sz w:val="20"/>
          <w:szCs w:val="20"/>
          <w:lang w:eastAsia="hr-HR"/>
        </w:rPr>
        <w:t>ov</w:t>
      </w:r>
      <w:proofErr w:type="spellEnd"/>
      <w:r w:rsidRPr="009530D2">
        <w:rPr>
          <w:rFonts w:ascii="Arial" w:eastAsia="Times New Roman" w:hAnsi="Arial" w:cs="Arial"/>
          <w:sz w:val="20"/>
          <w:szCs w:val="20"/>
          <w:lang w:eastAsia="hr-HR"/>
        </w:rPr>
        <w:t xml:space="preserve"> indeks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bioraznolikosti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14:paraId="2851A5B8" w14:textId="05687EDA" w:rsidR="00457C7B" w:rsidRDefault="005E1459" w:rsidP="00457C7B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inline distT="0" distB="0" distL="0" distR="0" wp14:anchorId="14D72AF8" wp14:editId="1D98214C">
            <wp:extent cx="1096108" cy="505029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08" cy="5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5A16" w14:textId="0226E1CA" w:rsidR="006B7187" w:rsidRDefault="006B7187" w:rsidP="00457C7B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Tablica 3.</w:t>
      </w:r>
      <w:r w:rsidRPr="006B7187">
        <w:t xml:space="preserve"> </w:t>
      </w:r>
      <w:r w:rsidRPr="006B718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6B7187">
        <w:rPr>
          <w:rFonts w:ascii="Arial" w:eastAsia="Times New Roman" w:hAnsi="Arial" w:cs="Arial"/>
          <w:sz w:val="20"/>
          <w:szCs w:val="20"/>
          <w:lang w:eastAsia="hr-HR"/>
        </w:rPr>
        <w:t>Shannon</w:t>
      </w:r>
      <w:proofErr w:type="spellEnd"/>
      <w:r w:rsidRPr="006B7187">
        <w:rPr>
          <w:rFonts w:ascii="Arial" w:eastAsia="Times New Roman" w:hAnsi="Arial" w:cs="Arial"/>
          <w:sz w:val="20"/>
          <w:szCs w:val="20"/>
          <w:lang w:eastAsia="hr-HR"/>
        </w:rPr>
        <w:t>-</w:t>
      </w:r>
      <w:proofErr w:type="spellStart"/>
      <w:r w:rsidRPr="006B7187">
        <w:rPr>
          <w:rFonts w:ascii="Arial" w:eastAsia="Times New Roman" w:hAnsi="Arial" w:cs="Arial"/>
          <w:sz w:val="20"/>
          <w:szCs w:val="20"/>
          <w:lang w:eastAsia="hr-HR"/>
        </w:rPr>
        <w:t>W</w:t>
      </w:r>
      <w:r>
        <w:rPr>
          <w:rFonts w:ascii="Arial" w:eastAsia="Times New Roman" w:hAnsi="Arial" w:cs="Arial"/>
          <w:sz w:val="20"/>
          <w:szCs w:val="20"/>
          <w:lang w:eastAsia="hr-HR"/>
        </w:rPr>
        <w:t>einer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ov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indeks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bioraznolikosti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1459">
        <w:rPr>
          <w:rFonts w:ascii="Arial" w:eastAsia="Times New Roman" w:hAnsi="Arial" w:cs="Arial"/>
          <w:sz w:val="20"/>
          <w:szCs w:val="20"/>
          <w:lang w:eastAsia="hr-HR"/>
        </w:rPr>
        <w:t xml:space="preserve">(H')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istraživnim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postajama</w: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2406"/>
        <w:gridCol w:w="851"/>
      </w:tblGrid>
      <w:tr w:rsidR="006B7187" w14:paraId="00D8BE4B" w14:textId="77777777" w:rsidTr="005B7BC0">
        <w:tc>
          <w:tcPr>
            <w:tcW w:w="2406" w:type="dxa"/>
          </w:tcPr>
          <w:p w14:paraId="023FDA75" w14:textId="77777777" w:rsidR="006B7187" w:rsidRDefault="006B7187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Istraživačka postaja</w:t>
            </w:r>
            <w:r w:rsidR="00A155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851" w:type="dxa"/>
          </w:tcPr>
          <w:p w14:paraId="66AC7386" w14:textId="59B7FB0C" w:rsidR="006B7187" w:rsidRDefault="005E1459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H'</w:t>
            </w:r>
          </w:p>
        </w:tc>
      </w:tr>
      <w:tr w:rsidR="006B7187" w14:paraId="41295EDB" w14:textId="77777777" w:rsidTr="005B7BC0">
        <w:tc>
          <w:tcPr>
            <w:tcW w:w="2406" w:type="dxa"/>
          </w:tcPr>
          <w:p w14:paraId="1608E8DD" w14:textId="77777777" w:rsidR="006B7187" w:rsidRDefault="006B7187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Bernićev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5B7B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mos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851" w:type="dxa"/>
          </w:tcPr>
          <w:p w14:paraId="6EDA20CE" w14:textId="77777777" w:rsidR="006B7187" w:rsidRDefault="005B7BC0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7B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2,02</w:t>
            </w:r>
          </w:p>
        </w:tc>
      </w:tr>
      <w:tr w:rsidR="006B7187" w14:paraId="23152CCE" w14:textId="77777777" w:rsidTr="005B7BC0">
        <w:tc>
          <w:tcPr>
            <w:tcW w:w="2406" w:type="dxa"/>
          </w:tcPr>
          <w:p w14:paraId="6B28DBE3" w14:textId="77777777" w:rsidR="006B7187" w:rsidRDefault="005B7BC0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Petrinjčica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prije utoke</w:t>
            </w:r>
          </w:p>
        </w:tc>
        <w:tc>
          <w:tcPr>
            <w:tcW w:w="851" w:type="dxa"/>
          </w:tcPr>
          <w:p w14:paraId="198875A0" w14:textId="77777777" w:rsidR="006B7187" w:rsidRDefault="005B7BC0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7B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2,6</w:t>
            </w:r>
          </w:p>
        </w:tc>
      </w:tr>
      <w:tr w:rsidR="006B7187" w14:paraId="63C5EFD1" w14:textId="77777777" w:rsidTr="005B7BC0">
        <w:tc>
          <w:tcPr>
            <w:tcW w:w="2406" w:type="dxa"/>
          </w:tcPr>
          <w:p w14:paraId="7E649EB8" w14:textId="77777777" w:rsidR="006B7187" w:rsidRDefault="005B7BC0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Kupa kupalište</w:t>
            </w:r>
          </w:p>
        </w:tc>
        <w:tc>
          <w:tcPr>
            <w:tcW w:w="851" w:type="dxa"/>
          </w:tcPr>
          <w:p w14:paraId="7529E869" w14:textId="77777777" w:rsidR="006B7187" w:rsidRDefault="005B7BC0" w:rsidP="005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7B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2,45</w:t>
            </w:r>
          </w:p>
        </w:tc>
      </w:tr>
      <w:tr w:rsidR="006B7187" w14:paraId="24646BAC" w14:textId="77777777" w:rsidTr="005B7BC0">
        <w:tc>
          <w:tcPr>
            <w:tcW w:w="2406" w:type="dxa"/>
          </w:tcPr>
          <w:p w14:paraId="3B8DFF84" w14:textId="77777777" w:rsidR="006B7187" w:rsidRDefault="005B7BC0" w:rsidP="0077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Kupa poslije utoke</w:t>
            </w:r>
          </w:p>
        </w:tc>
        <w:tc>
          <w:tcPr>
            <w:tcW w:w="851" w:type="dxa"/>
          </w:tcPr>
          <w:p w14:paraId="51903595" w14:textId="77777777" w:rsidR="006B7187" w:rsidRDefault="005B7BC0" w:rsidP="0077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7B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2,75</w:t>
            </w:r>
          </w:p>
        </w:tc>
      </w:tr>
    </w:tbl>
    <w:p w14:paraId="35A07E67" w14:textId="77777777" w:rsidR="00773878" w:rsidRDefault="00773878" w:rsidP="00773878">
      <w:pPr>
        <w:spacing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8A9267" w14:textId="72EC764B" w:rsidR="006B7187" w:rsidRDefault="00AB6DA0" w:rsidP="00773878">
      <w:pPr>
        <w:spacing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</w:t>
      </w:r>
      <w:r w:rsidRPr="00AB6DA0">
        <w:rPr>
          <w:rFonts w:ascii="Arial" w:eastAsia="Times New Roman" w:hAnsi="Arial" w:cs="Arial"/>
          <w:sz w:val="20"/>
          <w:szCs w:val="20"/>
          <w:lang w:eastAsia="hr-HR"/>
        </w:rPr>
        <w:t>jnižu vrijednost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E1459">
        <w:rPr>
          <w:rFonts w:ascii="Arial" w:eastAsia="Times New Roman" w:hAnsi="Arial" w:cs="Arial"/>
          <w:sz w:val="20"/>
          <w:szCs w:val="20"/>
          <w:lang w:eastAsia="hr-HR"/>
        </w:rPr>
        <w:t>H'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nalazimo na postaji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Bernićev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most </w:t>
      </w:r>
      <w:r w:rsidR="005E1459">
        <w:rPr>
          <w:rFonts w:ascii="Arial" w:eastAsia="Times New Roman" w:hAnsi="Arial" w:cs="Arial"/>
          <w:sz w:val="20"/>
          <w:szCs w:val="20"/>
          <w:lang w:eastAsia="hr-HR"/>
        </w:rPr>
        <w:t xml:space="preserve">(Tablica 3.)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zbog </w:t>
      </w:r>
      <w:r w:rsidRPr="00AB6DA0">
        <w:rPr>
          <w:rFonts w:ascii="Arial" w:eastAsia="Times New Roman" w:hAnsi="Arial" w:cs="Arial"/>
          <w:sz w:val="20"/>
          <w:szCs w:val="20"/>
          <w:lang w:eastAsia="hr-HR"/>
        </w:rPr>
        <w:t>velik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og </w:t>
      </w:r>
      <w:r w:rsidRPr="00AB6DA0">
        <w:rPr>
          <w:rFonts w:ascii="Arial" w:eastAsia="Times New Roman" w:hAnsi="Arial" w:cs="Arial"/>
          <w:sz w:val="20"/>
          <w:szCs w:val="20"/>
          <w:lang w:eastAsia="hr-HR"/>
        </w:rPr>
        <w:t xml:space="preserve"> broj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Chironomidae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koje smo </w:t>
      </w:r>
      <w:r w:rsidRPr="00AB6DA0">
        <w:rPr>
          <w:rFonts w:ascii="Arial" w:eastAsia="Times New Roman" w:hAnsi="Arial" w:cs="Arial"/>
          <w:sz w:val="20"/>
          <w:szCs w:val="20"/>
          <w:lang w:eastAsia="hr-HR"/>
        </w:rPr>
        <w:t>našli na ovoj postaji.</w:t>
      </w:r>
    </w:p>
    <w:p w14:paraId="081F5D87" w14:textId="77777777" w:rsidR="00457C7B" w:rsidRDefault="00457C7B" w:rsidP="00457C7B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057C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4. Zaključak </w:t>
      </w:r>
    </w:p>
    <w:p w14:paraId="3653AAEF" w14:textId="701421CB" w:rsidR="00A15CA8" w:rsidRDefault="005B7BC0" w:rsidP="005B7B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• </w:t>
      </w:r>
      <w:r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Prema </w:t>
      </w:r>
      <w:r w:rsidR="00773878" w:rsidRPr="005B7BC0">
        <w:rPr>
          <w:rFonts w:ascii="Arial" w:eastAsia="Times New Roman" w:hAnsi="Arial" w:cs="Arial"/>
          <w:sz w:val="20"/>
          <w:szCs w:val="20"/>
          <w:lang w:eastAsia="hr-HR"/>
        </w:rPr>
        <w:t>rezultatima</w:t>
      </w:r>
      <w:r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 fizikalno-kemijskih parametra koje smo radili možemo zaključiti da rječica</w:t>
      </w:r>
    </w:p>
    <w:p w14:paraId="42D150B7" w14:textId="77777777" w:rsidR="005B7BC0" w:rsidRPr="005B7BC0" w:rsidRDefault="005B7BC0" w:rsidP="005B7B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15CA8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proofErr w:type="spellStart"/>
      <w:r w:rsidRPr="005B7BC0">
        <w:rPr>
          <w:rFonts w:ascii="Arial" w:eastAsia="Times New Roman" w:hAnsi="Arial" w:cs="Arial"/>
          <w:sz w:val="20"/>
          <w:szCs w:val="20"/>
          <w:lang w:eastAsia="hr-HR"/>
        </w:rPr>
        <w:t>Petrinjčica</w:t>
      </w:r>
      <w:proofErr w:type="spellEnd"/>
      <w:r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 utječe na kvalitetu vode rijeke Kupe. </w:t>
      </w:r>
    </w:p>
    <w:p w14:paraId="731257AA" w14:textId="22EC42FA" w:rsidR="005B7BC0" w:rsidRPr="005B7BC0" w:rsidRDefault="005B7BC0" w:rsidP="005B7B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• </w:t>
      </w:r>
      <w:r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Ta veličina utjecaja je vrlo mala jer </w:t>
      </w:r>
      <w:r w:rsidR="005E1459" w:rsidRPr="005B7BC0">
        <w:rPr>
          <w:rFonts w:ascii="Arial" w:eastAsia="Times New Roman" w:hAnsi="Arial" w:cs="Arial"/>
          <w:sz w:val="20"/>
          <w:szCs w:val="20"/>
          <w:lang w:eastAsia="hr-HR"/>
        </w:rPr>
        <w:t>je</w:t>
      </w:r>
      <w:r w:rsidR="005E1459"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B7BC0">
        <w:rPr>
          <w:rFonts w:ascii="Arial" w:eastAsia="Times New Roman" w:hAnsi="Arial" w:cs="Arial"/>
          <w:sz w:val="20"/>
          <w:szCs w:val="20"/>
          <w:lang w:eastAsia="hr-HR"/>
        </w:rPr>
        <w:t xml:space="preserve">sama rječica puno manja </w:t>
      </w:r>
    </w:p>
    <w:p w14:paraId="21BA1723" w14:textId="5CD232FB" w:rsidR="00D77DA4" w:rsidRDefault="005B7BC0" w:rsidP="005B7B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B7BC0">
        <w:rPr>
          <w:rFonts w:ascii="Arial" w:eastAsia="Times New Roman" w:hAnsi="Arial" w:cs="Arial"/>
          <w:sz w:val="20"/>
          <w:szCs w:val="20"/>
          <w:lang w:eastAsia="hr-HR"/>
        </w:rPr>
        <w:t>•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73878">
        <w:rPr>
          <w:rFonts w:ascii="Arial" w:eastAsia="Times New Roman" w:hAnsi="Arial" w:cs="Arial"/>
          <w:sz w:val="20"/>
          <w:szCs w:val="20"/>
          <w:lang w:eastAsia="hr-HR"/>
        </w:rPr>
        <w:t>Rječica</w:t>
      </w:r>
      <w:r w:rsidR="00AB6DA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AB6DA0">
        <w:rPr>
          <w:rFonts w:ascii="Arial" w:eastAsia="Times New Roman" w:hAnsi="Arial" w:cs="Arial"/>
          <w:sz w:val="20"/>
          <w:szCs w:val="20"/>
          <w:lang w:eastAsia="hr-HR"/>
        </w:rPr>
        <w:t>Petrinjčica</w:t>
      </w:r>
      <w:proofErr w:type="spellEnd"/>
      <w:r w:rsidR="00AB6DA0">
        <w:rPr>
          <w:rFonts w:ascii="Arial" w:eastAsia="Times New Roman" w:hAnsi="Arial" w:cs="Arial"/>
          <w:sz w:val="20"/>
          <w:szCs w:val="20"/>
          <w:lang w:eastAsia="hr-HR"/>
        </w:rPr>
        <w:t xml:space="preserve"> na svom donjem </w:t>
      </w:r>
      <w:r>
        <w:rPr>
          <w:rFonts w:ascii="Arial" w:eastAsia="Times New Roman" w:hAnsi="Arial" w:cs="Arial"/>
          <w:sz w:val="20"/>
          <w:szCs w:val="20"/>
          <w:lang w:eastAsia="hr-HR"/>
        </w:rPr>
        <w:t>d</w:t>
      </w:r>
      <w:r w:rsidR="00AB6DA0">
        <w:rPr>
          <w:rFonts w:ascii="Arial" w:eastAsia="Times New Roman" w:hAnsi="Arial" w:cs="Arial"/>
          <w:sz w:val="20"/>
          <w:szCs w:val="20"/>
          <w:lang w:eastAsia="hr-HR"/>
        </w:rPr>
        <w:t>ijelu toka prolaska</w:t>
      </w:r>
      <w:r w:rsidR="00A15CA8">
        <w:rPr>
          <w:rFonts w:ascii="Arial" w:eastAsia="Times New Roman" w:hAnsi="Arial" w:cs="Arial"/>
          <w:sz w:val="20"/>
          <w:szCs w:val="20"/>
          <w:lang w:eastAsia="hr-HR"/>
        </w:rPr>
        <w:t xml:space="preserve"> kroz grad g</w:t>
      </w:r>
      <w:r>
        <w:rPr>
          <w:rFonts w:ascii="Arial" w:eastAsia="Times New Roman" w:hAnsi="Arial" w:cs="Arial"/>
          <w:sz w:val="20"/>
          <w:szCs w:val="20"/>
          <w:lang w:eastAsia="hr-HR"/>
        </w:rPr>
        <w:t>ubi na kvaliteti</w:t>
      </w:r>
      <w:r w:rsidR="007F1B6C">
        <w:rPr>
          <w:rFonts w:ascii="Arial" w:eastAsia="Times New Roman" w:hAnsi="Arial" w:cs="Arial"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77DA4">
        <w:rPr>
          <w:rFonts w:ascii="Arial" w:eastAsia="Times New Roman" w:hAnsi="Arial" w:cs="Arial"/>
          <w:sz w:val="20"/>
          <w:szCs w:val="20"/>
          <w:lang w:eastAsia="hr-HR"/>
        </w:rPr>
        <w:t xml:space="preserve">najviše se </w:t>
      </w:r>
    </w:p>
    <w:p w14:paraId="7B164F49" w14:textId="2E83E151" w:rsidR="005B7BC0" w:rsidRPr="005B7BC0" w:rsidRDefault="00D77DA4" w:rsidP="005B7B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p</w:t>
      </w:r>
      <w:r w:rsidR="007F1B6C">
        <w:rPr>
          <w:rFonts w:ascii="Arial" w:eastAsia="Times New Roman" w:hAnsi="Arial" w:cs="Arial"/>
          <w:sz w:val="20"/>
          <w:szCs w:val="20"/>
          <w:lang w:eastAsia="hr-HR"/>
        </w:rPr>
        <w:t>ovisila pH vrijednost, iako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unutar MDK.</w:t>
      </w:r>
    </w:p>
    <w:p w14:paraId="21EC9EDB" w14:textId="62355147" w:rsidR="00A15CA8" w:rsidRDefault="005B7BC0" w:rsidP="00A15C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5B7BC0">
        <w:rPr>
          <w:rFonts w:ascii="Arial" w:eastAsia="Times New Roman" w:hAnsi="Arial" w:cs="Arial"/>
          <w:sz w:val="20"/>
          <w:szCs w:val="20"/>
          <w:lang w:eastAsia="hr-HR"/>
        </w:rPr>
        <w:t>•</w:t>
      </w:r>
      <w:r w:rsidR="00A15CA8">
        <w:rPr>
          <w:rFonts w:ascii="Arial" w:eastAsia="Times New Roman" w:hAnsi="Arial" w:cs="Arial"/>
          <w:sz w:val="20"/>
          <w:szCs w:val="20"/>
          <w:lang w:eastAsia="hr-HR"/>
        </w:rPr>
        <w:t xml:space="preserve"> Kvaliteta vode rijeke Kupe nakon utoke </w:t>
      </w:r>
      <w:proofErr w:type="spellStart"/>
      <w:r w:rsidR="00A15CA8">
        <w:rPr>
          <w:rFonts w:ascii="Arial" w:eastAsia="Times New Roman" w:hAnsi="Arial" w:cs="Arial"/>
          <w:sz w:val="20"/>
          <w:szCs w:val="20"/>
          <w:lang w:eastAsia="hr-HR"/>
        </w:rPr>
        <w:t>Petrinjčice</w:t>
      </w:r>
      <w:proofErr w:type="spellEnd"/>
      <w:r w:rsidR="00A15CA8">
        <w:rPr>
          <w:rFonts w:ascii="Arial" w:eastAsia="Times New Roman" w:hAnsi="Arial" w:cs="Arial"/>
          <w:sz w:val="20"/>
          <w:szCs w:val="20"/>
          <w:lang w:eastAsia="hr-HR"/>
        </w:rPr>
        <w:t xml:space="preserve"> je malo bolja, što mogu </w:t>
      </w:r>
      <w:r w:rsidR="00AB6DA0">
        <w:rPr>
          <w:rFonts w:ascii="Arial" w:eastAsia="Times New Roman" w:hAnsi="Arial" w:cs="Arial"/>
          <w:sz w:val="20"/>
          <w:szCs w:val="20"/>
          <w:lang w:eastAsia="hr-HR"/>
        </w:rPr>
        <w:t>potvrditi i analiz</w:t>
      </w:r>
      <w:r w:rsidR="005E1459">
        <w:rPr>
          <w:rFonts w:ascii="Arial" w:eastAsia="Times New Roman" w:hAnsi="Arial" w:cs="Arial"/>
          <w:sz w:val="20"/>
          <w:szCs w:val="20"/>
          <w:lang w:eastAsia="hr-HR"/>
        </w:rPr>
        <w:t>e</w:t>
      </w:r>
    </w:p>
    <w:p w14:paraId="0D96EA70" w14:textId="77777777" w:rsidR="005B7BC0" w:rsidRDefault="00A15CA8" w:rsidP="00A15C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makrozoobentosa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5B7BC0" w:rsidRPr="005B7BC0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71AC8AF9" w14:textId="77777777" w:rsidR="00A155D7" w:rsidRDefault="00A155D7" w:rsidP="00A15C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5C6CD2" w14:textId="77777777" w:rsidR="00A155D7" w:rsidRDefault="00A155D7" w:rsidP="00A15C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155D7">
        <w:rPr>
          <w:rFonts w:ascii="Arial" w:eastAsia="Times New Roman" w:hAnsi="Arial" w:cs="Arial"/>
          <w:b/>
          <w:sz w:val="20"/>
          <w:szCs w:val="20"/>
          <w:lang w:eastAsia="hr-HR"/>
        </w:rPr>
        <w:t>5. Literatura:</w:t>
      </w:r>
    </w:p>
    <w:p w14:paraId="0BC7593B" w14:textId="77777777" w:rsidR="00A155D7" w:rsidRDefault="00A155D7" w:rsidP="00A15C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9B6F4F6" w14:textId="77777777" w:rsidR="00A155D7" w:rsidRPr="00D77DA4" w:rsidRDefault="00A155D7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77DA4">
        <w:rPr>
          <w:rFonts w:ascii="Arial" w:eastAsia="Times New Roman" w:hAnsi="Arial" w:cs="Arial"/>
          <w:sz w:val="20"/>
          <w:szCs w:val="20"/>
          <w:lang w:eastAsia="hr-HR"/>
        </w:rPr>
        <w:t>I. Matoničkin –Z. Pavletić:»Život naših rijeka», Školska knjiga, Zagreb, 1972.</w:t>
      </w:r>
    </w:p>
    <w:p w14:paraId="7AE07AF9" w14:textId="77777777" w:rsidR="00A155D7" w:rsidRPr="00D77DA4" w:rsidRDefault="00A155D7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77DA4">
        <w:rPr>
          <w:rFonts w:ascii="Arial" w:eastAsia="Times New Roman" w:hAnsi="Arial" w:cs="Arial"/>
          <w:sz w:val="20"/>
          <w:szCs w:val="20"/>
          <w:lang w:eastAsia="hr-HR"/>
        </w:rPr>
        <w:t xml:space="preserve">M. </w:t>
      </w:r>
      <w:proofErr w:type="spellStart"/>
      <w:r w:rsidRPr="00D77DA4">
        <w:rPr>
          <w:rFonts w:ascii="Arial" w:eastAsia="Times New Roman" w:hAnsi="Arial" w:cs="Arial"/>
          <w:sz w:val="20"/>
          <w:szCs w:val="20"/>
          <w:lang w:eastAsia="hr-HR"/>
        </w:rPr>
        <w:t>Kerovac</w:t>
      </w:r>
      <w:proofErr w:type="spellEnd"/>
      <w:r w:rsidRPr="00D77DA4">
        <w:rPr>
          <w:rFonts w:ascii="Arial" w:eastAsia="Times New Roman" w:hAnsi="Arial" w:cs="Arial"/>
          <w:sz w:val="20"/>
          <w:szCs w:val="20"/>
          <w:lang w:eastAsia="hr-HR"/>
        </w:rPr>
        <w:t>:»Priručnik za upoznavanje beskralježnjaka naših potoka i rijeka» SNL, 1986.</w:t>
      </w:r>
    </w:p>
    <w:p w14:paraId="10DA9B2B" w14:textId="77777777" w:rsidR="00A155D7" w:rsidRPr="00D77DA4" w:rsidRDefault="00A155D7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77DA4">
        <w:rPr>
          <w:rFonts w:ascii="Arial" w:eastAsia="Times New Roman" w:hAnsi="Arial" w:cs="Arial"/>
          <w:sz w:val="20"/>
          <w:szCs w:val="20"/>
          <w:lang w:eastAsia="hr-HR"/>
        </w:rPr>
        <w:t>GLOBE protokol za istraživanje voda, priredila R. Matoničkin Kepčija</w:t>
      </w:r>
    </w:p>
    <w:p w14:paraId="2D7F8C13" w14:textId="06FAAFF0" w:rsidR="00A155D7" w:rsidRPr="00D77DA4" w:rsidRDefault="00A155D7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77DA4">
        <w:rPr>
          <w:rFonts w:ascii="Arial" w:eastAsia="Times New Roman" w:hAnsi="Arial" w:cs="Arial"/>
          <w:sz w:val="20"/>
          <w:szCs w:val="20"/>
          <w:lang w:eastAsia="hr-HR"/>
        </w:rPr>
        <w:t xml:space="preserve">GLOBE protokol za slatkovodne </w:t>
      </w:r>
      <w:proofErr w:type="spellStart"/>
      <w:r w:rsidRPr="00D77DA4">
        <w:rPr>
          <w:rFonts w:ascii="Arial" w:eastAsia="Times New Roman" w:hAnsi="Arial" w:cs="Arial"/>
          <w:sz w:val="20"/>
          <w:szCs w:val="20"/>
          <w:lang w:eastAsia="hr-HR"/>
        </w:rPr>
        <w:t>makrobeskralježnjake</w:t>
      </w:r>
      <w:proofErr w:type="spellEnd"/>
      <w:r w:rsidRPr="00D77DA4">
        <w:rPr>
          <w:rFonts w:ascii="Arial" w:eastAsia="Times New Roman" w:hAnsi="Arial" w:cs="Arial"/>
          <w:sz w:val="20"/>
          <w:szCs w:val="20"/>
          <w:lang w:eastAsia="hr-HR"/>
        </w:rPr>
        <w:t>, prevela i prilagodila R. Matoničkin Kepčija.</w:t>
      </w:r>
    </w:p>
    <w:p w14:paraId="112D8B5F" w14:textId="77777777" w:rsidR="00D77DA4" w:rsidRPr="00D77DA4" w:rsidRDefault="00D77DA4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77DA4">
        <w:rPr>
          <w:rFonts w:ascii="Arial" w:hAnsi="Arial" w:cs="Arial"/>
          <w:iCs/>
          <w:sz w:val="20"/>
          <w:szCs w:val="20"/>
        </w:rPr>
        <w:t>Uredba o kakvoći vode za kupanje („Narodne novine“, br.51/10)</w:t>
      </w:r>
    </w:p>
    <w:p w14:paraId="1B488684" w14:textId="77777777" w:rsidR="00D77DA4" w:rsidRPr="00D77DA4" w:rsidRDefault="00D77DA4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77DA4">
        <w:rPr>
          <w:rFonts w:ascii="Arial" w:hAnsi="Arial" w:cs="Arial"/>
          <w:iCs/>
          <w:sz w:val="20"/>
          <w:szCs w:val="20"/>
        </w:rPr>
        <w:t>Uredbe o klasifikaciji voda (NN 77/98)</w:t>
      </w:r>
    </w:p>
    <w:p w14:paraId="485D48F9" w14:textId="77777777" w:rsidR="00D77DA4" w:rsidRPr="00D77DA4" w:rsidRDefault="00D77DA4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77DA4">
        <w:rPr>
          <w:rFonts w:ascii="Arial" w:hAnsi="Arial" w:cs="Arial"/>
          <w:iCs/>
          <w:sz w:val="20"/>
          <w:szCs w:val="20"/>
        </w:rPr>
        <w:t>Uredba o standardu kakvoće voda („Narodne novine“, br.89/10)</w:t>
      </w:r>
    </w:p>
    <w:p w14:paraId="3DC55C30" w14:textId="77777777" w:rsidR="00457C7B" w:rsidRPr="00D77DA4" w:rsidRDefault="00D77DA4" w:rsidP="00BA43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77DA4">
        <w:rPr>
          <w:rFonts w:ascii="Arial" w:hAnsi="Arial" w:cs="Arial"/>
          <w:iCs/>
          <w:sz w:val="20"/>
          <w:szCs w:val="20"/>
        </w:rPr>
        <w:t>Zakon o vodama, („Narodne novine“, br.153/09)</w:t>
      </w:r>
    </w:p>
    <w:p w14:paraId="4286E01D" w14:textId="77777777" w:rsidR="00457C7B" w:rsidRDefault="00457C7B" w:rsidP="00457C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4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33C574" w15:done="0"/>
  <w15:commentEx w15:paraId="7A2AC137" w15:done="0"/>
  <w15:commentEx w15:paraId="55434A9F" w15:done="0"/>
  <w15:commentEx w15:paraId="1192A87B" w15:done="0"/>
  <w15:commentEx w15:paraId="42562DAE" w15:done="0"/>
  <w15:commentEx w15:paraId="7F23527C" w15:done="0"/>
  <w15:commentEx w15:paraId="09205CEE" w15:done="0"/>
  <w15:commentEx w15:paraId="3999CFEF" w15:done="0"/>
  <w15:commentEx w15:paraId="5CCAC383" w15:done="0"/>
  <w15:commentEx w15:paraId="69BB61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3A863" w14:textId="77777777" w:rsidR="004C286F" w:rsidRDefault="004C286F" w:rsidP="00457C7B">
      <w:pPr>
        <w:spacing w:after="0" w:line="240" w:lineRule="auto"/>
      </w:pPr>
      <w:r>
        <w:separator/>
      </w:r>
    </w:p>
  </w:endnote>
  <w:endnote w:type="continuationSeparator" w:id="0">
    <w:p w14:paraId="73F72D85" w14:textId="77777777" w:rsidR="004C286F" w:rsidRDefault="004C286F" w:rsidP="0045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5951" w14:textId="77777777" w:rsidR="004C286F" w:rsidRDefault="004C286F" w:rsidP="00457C7B">
      <w:pPr>
        <w:spacing w:after="0" w:line="240" w:lineRule="auto"/>
      </w:pPr>
      <w:r>
        <w:separator/>
      </w:r>
    </w:p>
  </w:footnote>
  <w:footnote w:type="continuationSeparator" w:id="0">
    <w:p w14:paraId="03BF170A" w14:textId="77777777" w:rsidR="004C286F" w:rsidRDefault="004C286F" w:rsidP="0045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74E"/>
    <w:multiLevelType w:val="hybridMultilevel"/>
    <w:tmpl w:val="5CE41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27E"/>
    <w:multiLevelType w:val="hybridMultilevel"/>
    <w:tmpl w:val="9410C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6ABC"/>
    <w:multiLevelType w:val="hybridMultilevel"/>
    <w:tmpl w:val="1172B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B"/>
    <w:rsid w:val="00110437"/>
    <w:rsid w:val="00131F8C"/>
    <w:rsid w:val="00181FE9"/>
    <w:rsid w:val="00457C7B"/>
    <w:rsid w:val="004C286F"/>
    <w:rsid w:val="005B7BC0"/>
    <w:rsid w:val="005E1459"/>
    <w:rsid w:val="006B7187"/>
    <w:rsid w:val="00773878"/>
    <w:rsid w:val="007F1B6C"/>
    <w:rsid w:val="00853910"/>
    <w:rsid w:val="00A155D7"/>
    <w:rsid w:val="00A15CA8"/>
    <w:rsid w:val="00A52A55"/>
    <w:rsid w:val="00AB6DA0"/>
    <w:rsid w:val="00BA43E3"/>
    <w:rsid w:val="00BE53AD"/>
    <w:rsid w:val="00D77DA4"/>
    <w:rsid w:val="00E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C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7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57C7B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39"/>
    <w:rsid w:val="004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7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C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7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57C7B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39"/>
    <w:rsid w:val="0045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7C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C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UTOKA\utoka%20makrozoobento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TOKA\utoka%20makrozooben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TOKA\utoka%20makrozooben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09862876051384"/>
          <c:y val="4.1256440227775713E-2"/>
          <c:w val="0.5637157731521184"/>
          <c:h val="0.7164530801757046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List4!$B$7</c:f>
              <c:strCache>
                <c:ptCount val="1"/>
                <c:pt idx="0">
                  <c:v>Ephemeroptera-vodencvijetovi</c:v>
                </c:pt>
              </c:strCache>
            </c:strRef>
          </c:tx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List4!$C$7:$G$7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List4!$B$8</c:f>
              <c:strCache>
                <c:ptCount val="1"/>
                <c:pt idx="0">
                  <c:v>Chironomidae−trzalci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List4!$C$8:$G$8</c:f>
              <c:numCache>
                <c:formatCode>General</c:formatCode>
                <c:ptCount val="5"/>
                <c:pt idx="0">
                  <c:v>166</c:v>
                </c:pt>
                <c:pt idx="1">
                  <c:v>9</c:v>
                </c:pt>
                <c:pt idx="2">
                  <c:v>46</c:v>
                </c:pt>
                <c:pt idx="3">
                  <c:v>31</c:v>
                </c:pt>
                <c:pt idx="4">
                  <c:v>252</c:v>
                </c:pt>
              </c:numCache>
            </c:numRef>
          </c:val>
        </c:ser>
        <c:ser>
          <c:idx val="2"/>
          <c:order val="2"/>
          <c:tx>
            <c:strRef>
              <c:f>List4!$B$9</c:f>
              <c:strCache>
                <c:ptCount val="1"/>
                <c:pt idx="0">
                  <c:v>Simulidae−brančevke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List4!$C$9:$G$9</c:f>
              <c:numCache>
                <c:formatCode>General</c:formatCode>
                <c:ptCount val="5"/>
                <c:pt idx="0">
                  <c:v>50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68</c:v>
                </c:pt>
              </c:numCache>
            </c:numRef>
          </c:val>
        </c:ser>
        <c:ser>
          <c:idx val="3"/>
          <c:order val="3"/>
          <c:tx>
            <c:strRef>
              <c:f>List4!$B$10</c:f>
              <c:strCache>
                <c:ptCount val="1"/>
                <c:pt idx="0">
                  <c:v>Tipulidae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List4!$C$10:$G$10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13</c:v>
                </c:pt>
                <c:pt idx="3">
                  <c:v>11</c:v>
                </c:pt>
                <c:pt idx="4">
                  <c:v>50</c:v>
                </c:pt>
              </c:numCache>
            </c:numRef>
          </c:val>
        </c:ser>
        <c:ser>
          <c:idx val="4"/>
          <c:order val="4"/>
          <c:tx>
            <c:strRef>
              <c:f>List4!$B$11</c:f>
              <c:strCache>
                <c:ptCount val="1"/>
                <c:pt idx="0">
                  <c:v>Coleoptera−kornjaši</c:v>
                </c:pt>
              </c:strCache>
            </c:strRef>
          </c:tx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List4!$C$11:$G$11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69</c:v>
                </c:pt>
              </c:numCache>
            </c:numRef>
          </c:val>
        </c:ser>
        <c:ser>
          <c:idx val="5"/>
          <c:order val="5"/>
          <c:tx>
            <c:strRef>
              <c:f>List4!$B$12</c:f>
              <c:strCache>
                <c:ptCount val="1"/>
                <c:pt idx="0">
                  <c:v>Plecoptera−obalčari</c:v>
                </c:pt>
              </c:strCache>
            </c:strRef>
          </c:tx>
          <c:spPr>
            <a:solidFill>
              <a:srgbClr val="3ED63E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List4!$C$12:$G$12</c:f>
              <c:numCache>
                <c:formatCode>General</c:formatCode>
                <c:ptCount val="5"/>
                <c:pt idx="0">
                  <c:v>41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61</c:v>
                </c:pt>
              </c:numCache>
            </c:numRef>
          </c:val>
        </c:ser>
        <c:ser>
          <c:idx val="6"/>
          <c:order val="6"/>
          <c:tx>
            <c:strRef>
              <c:f>List4!$B$13</c:f>
              <c:strCache>
                <c:ptCount val="1"/>
                <c:pt idx="0">
                  <c:v>Trichoptera−tulari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List4!$C$13:$G$13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ser>
          <c:idx val="7"/>
          <c:order val="7"/>
          <c:tx>
            <c:strRef>
              <c:f>List4!$B$14</c:f>
              <c:strCache>
                <c:ptCount val="1"/>
                <c:pt idx="0">
                  <c:v>Crustacea−rakušci</c:v>
                </c:pt>
              </c:strCache>
            </c:strRef>
          </c:tx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List4!$C$14:$G$14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12</c:v>
                </c:pt>
              </c:numCache>
            </c:numRef>
          </c:val>
        </c:ser>
        <c:ser>
          <c:idx val="8"/>
          <c:order val="8"/>
          <c:tx>
            <c:strRef>
              <c:f>List4!$B$15</c:f>
              <c:strCache>
                <c:ptCount val="1"/>
                <c:pt idx="0">
                  <c:v>Oligochaeta−maločetinaši</c:v>
                </c:pt>
              </c:strCache>
            </c:strRef>
          </c:tx>
          <c:spPr>
            <a:solidFill>
              <a:srgbClr val="B72A13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List4!$C$15:$G$15</c:f>
              <c:numCache>
                <c:formatCode>General</c:formatCode>
                <c:ptCount val="5"/>
                <c:pt idx="0">
                  <c:v>12</c:v>
                </c:pt>
                <c:pt idx="1">
                  <c:v>23</c:v>
                </c:pt>
                <c:pt idx="2">
                  <c:v>55</c:v>
                </c:pt>
                <c:pt idx="3">
                  <c:v>36</c:v>
                </c:pt>
                <c:pt idx="4">
                  <c:v>126</c:v>
                </c:pt>
              </c:numCache>
            </c:numRef>
          </c:val>
        </c:ser>
        <c:ser>
          <c:idx val="9"/>
          <c:order val="9"/>
          <c:tx>
            <c:strRef>
              <c:f>List4!$B$16</c:f>
              <c:strCache>
                <c:ptCount val="1"/>
                <c:pt idx="0">
                  <c:v>Nematode−oblići</c:v>
                </c:pt>
              </c:strCache>
            </c:strRef>
          </c:tx>
          <c:spPr>
            <a:solidFill>
              <a:srgbClr val="A6561A"/>
            </a:solidFill>
          </c:spPr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List4!$C$16:$G$16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11</c:v>
                </c:pt>
                <c:pt idx="4">
                  <c:v>25</c:v>
                </c:pt>
              </c:numCache>
            </c:numRef>
          </c:val>
        </c:ser>
        <c:ser>
          <c:idx val="10"/>
          <c:order val="10"/>
          <c:tx>
            <c:strRef>
              <c:f>List4!$B$17</c:f>
              <c:strCache>
                <c:ptCount val="1"/>
                <c:pt idx="0">
                  <c:v>Gastropoda−puževi</c:v>
                </c:pt>
              </c:strCache>
            </c:strRef>
          </c:tx>
          <c:invertIfNegative val="0"/>
          <c:cat>
            <c:strRef>
              <c:f>List4!$C$6:$G$6</c:f>
              <c:strCache>
                <c:ptCount val="5"/>
                <c:pt idx="0">
                  <c:v>Bernićev most </c:v>
                </c:pt>
                <c:pt idx="1">
                  <c:v>Petrinjčica prije utoke </c:v>
                </c:pt>
                <c:pt idx="2">
                  <c:v>Kupa kupalište</c:v>
                </c:pt>
                <c:pt idx="3">
                  <c:v>Kupa poslije utoke </c:v>
                </c:pt>
                <c:pt idx="4">
                  <c:v>Ukupno </c:v>
                </c:pt>
              </c:strCache>
            </c:strRef>
          </c:cat>
          <c:val>
            <c:numRef>
              <c:f>List4!$C$17:$G$17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7062784"/>
        <c:axId val="268276224"/>
      </c:barChart>
      <c:catAx>
        <c:axId val="267062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 baseline="0">
                    <a:latin typeface="Arial" panose="020B0604020202020204" pitchFamily="34" charset="0"/>
                  </a:rPr>
                  <a:t>Hidrološka postaja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sr-Latn-RS"/>
          </a:p>
        </c:txPr>
        <c:crossAx val="268276224"/>
        <c:crosses val="autoZero"/>
        <c:auto val="1"/>
        <c:lblAlgn val="ctr"/>
        <c:lblOffset val="100"/>
        <c:noMultiLvlLbl val="0"/>
      </c:catAx>
      <c:valAx>
        <c:axId val="268276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 baseline="0">
                    <a:latin typeface="Arial" panose="020B0604020202020204" pitchFamily="34" charset="0"/>
                  </a:rPr>
                  <a:t>Udio svojti 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sr-Latn-RS"/>
          </a:p>
        </c:txPr>
        <c:crossAx val="26706278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800" baseline="0">
                <a:latin typeface="Arial" panose="020B0604020202020204" pitchFamily="34" charset="0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73196199921692617"/>
          <c:y val="2.3264800233304189E-3"/>
          <c:w val="0.25964323903956449"/>
          <c:h val="0.976828521434820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List4!$J$35</c:f>
              <c:strCache>
                <c:ptCount val="1"/>
                <c:pt idx="0">
                  <c:v>Ephemeroptera</c:v>
                </c:pt>
              </c:strCache>
            </c:strRef>
          </c:tx>
          <c:invertIfNegative val="0"/>
          <c:cat>
            <c:strRef>
              <c:f>List4!$K$34:$N$34</c:f>
              <c:strCache>
                <c:ptCount val="4"/>
                <c:pt idx="0">
                  <c:v>Bernićev most</c:v>
                </c:pt>
                <c:pt idx="1">
                  <c:v>Petrinjčica prije utoke</c:v>
                </c:pt>
                <c:pt idx="2">
                  <c:v>Kupa kupalište</c:v>
                </c:pt>
                <c:pt idx="3">
                  <c:v>Kupa poslije utoke Petrinjčice</c:v>
                </c:pt>
              </c:strCache>
            </c:strRef>
          </c:cat>
          <c:val>
            <c:numRef>
              <c:f>List4!$K$35:$N$35</c:f>
              <c:numCache>
                <c:formatCode>General</c:formatCode>
                <c:ptCount val="4"/>
                <c:pt idx="0">
                  <c:v>1.0033444816053512</c:v>
                </c:pt>
                <c:pt idx="1">
                  <c:v>0</c:v>
                </c:pt>
                <c:pt idx="2">
                  <c:v>2.0134228187919461</c:v>
                </c:pt>
                <c:pt idx="3">
                  <c:v>2.6548672566371683</c:v>
                </c:pt>
              </c:numCache>
            </c:numRef>
          </c:val>
        </c:ser>
        <c:ser>
          <c:idx val="1"/>
          <c:order val="1"/>
          <c:tx>
            <c:strRef>
              <c:f>List4!$J$36</c:f>
              <c:strCache>
                <c:ptCount val="1"/>
                <c:pt idx="0">
                  <c:v>Plecoptera</c:v>
                </c:pt>
              </c:strCache>
            </c:strRef>
          </c:tx>
          <c:spPr>
            <a:solidFill>
              <a:srgbClr val="3ED63E"/>
            </a:solidFill>
          </c:spPr>
          <c:invertIfNegative val="0"/>
          <c:cat>
            <c:strRef>
              <c:f>List4!$K$34:$N$34</c:f>
              <c:strCache>
                <c:ptCount val="4"/>
                <c:pt idx="0">
                  <c:v>Bernićev most</c:v>
                </c:pt>
                <c:pt idx="1">
                  <c:v>Petrinjčica prije utoke</c:v>
                </c:pt>
                <c:pt idx="2">
                  <c:v>Kupa kupalište</c:v>
                </c:pt>
                <c:pt idx="3">
                  <c:v>Kupa poslije utoke Petrinjčice</c:v>
                </c:pt>
              </c:strCache>
            </c:strRef>
          </c:cat>
          <c:val>
            <c:numRef>
              <c:f>List4!$K$36:$N$36</c:f>
              <c:numCache>
                <c:formatCode>General</c:formatCode>
                <c:ptCount val="4"/>
                <c:pt idx="0">
                  <c:v>13.712374581939798</c:v>
                </c:pt>
                <c:pt idx="1">
                  <c:v>11.594202898550725</c:v>
                </c:pt>
                <c:pt idx="2">
                  <c:v>4.0268456375838921</c:v>
                </c:pt>
                <c:pt idx="3">
                  <c:v>5.3097345132743365</c:v>
                </c:pt>
              </c:numCache>
            </c:numRef>
          </c:val>
        </c:ser>
        <c:ser>
          <c:idx val="2"/>
          <c:order val="2"/>
          <c:tx>
            <c:strRef>
              <c:f>List4!$J$37</c:f>
              <c:strCache>
                <c:ptCount val="1"/>
                <c:pt idx="0">
                  <c:v>Trichoptera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List4!$K$34:$N$34</c:f>
              <c:strCache>
                <c:ptCount val="4"/>
                <c:pt idx="0">
                  <c:v>Bernićev most</c:v>
                </c:pt>
                <c:pt idx="1">
                  <c:v>Petrinjčica prije utoke</c:v>
                </c:pt>
                <c:pt idx="2">
                  <c:v>Kupa kupalište</c:v>
                </c:pt>
                <c:pt idx="3">
                  <c:v>Kupa poslije utoke Petrinjčice</c:v>
                </c:pt>
              </c:strCache>
            </c:strRef>
          </c:cat>
          <c:val>
            <c:numRef>
              <c:f>List4!$K$37:$N$37</c:f>
              <c:numCache>
                <c:formatCode>General</c:formatCode>
                <c:ptCount val="4"/>
                <c:pt idx="0">
                  <c:v>1.0033444816053512</c:v>
                </c:pt>
                <c:pt idx="1">
                  <c:v>1.4492753623188406</c:v>
                </c:pt>
                <c:pt idx="2">
                  <c:v>2.0134228187919461</c:v>
                </c:pt>
                <c:pt idx="3">
                  <c:v>0.88495575221238942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732032"/>
        <c:axId val="268279104"/>
      </c:barChart>
      <c:catAx>
        <c:axId val="162732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 baseline="0">
                    <a:latin typeface="Arial" panose="020B0604020202020204" pitchFamily="34" charset="0"/>
                  </a:rPr>
                  <a:t>Hidrološke postaje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sr-Latn-RS"/>
          </a:p>
        </c:txPr>
        <c:crossAx val="268279104"/>
        <c:crosses val="autoZero"/>
        <c:auto val="1"/>
        <c:lblAlgn val="ctr"/>
        <c:lblOffset val="100"/>
        <c:noMultiLvlLbl val="0"/>
      </c:catAx>
      <c:valAx>
        <c:axId val="2682791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r-HR" baseline="0">
                    <a:latin typeface="Arial" panose="020B0604020202020204" pitchFamily="34" charset="0"/>
                  </a:rPr>
                  <a:t>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sr-Latn-RS"/>
          </a:p>
        </c:txPr>
        <c:crossAx val="162732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18695453348944"/>
          <c:y val="5.6669913683469984E-2"/>
          <c:w val="0.58526859142607179"/>
          <c:h val="0.637907917760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List5!$B$4</c:f>
              <c:strCache>
                <c:ptCount val="1"/>
                <c:pt idx="0">
                  <c:v>Oligochaeta-maločetinaši</c:v>
                </c:pt>
              </c:strCache>
            </c:strRef>
          </c:tx>
          <c:spPr>
            <a:solidFill>
              <a:srgbClr val="845234"/>
            </a:solidFill>
          </c:spPr>
          <c:invertIfNegative val="0"/>
          <c:cat>
            <c:strRef>
              <c:f>List5!$C$3:$F$3</c:f>
              <c:strCache>
                <c:ptCount val="4"/>
                <c:pt idx="0">
                  <c:v>Bernićev most</c:v>
                </c:pt>
                <c:pt idx="1">
                  <c:v>Petrinjčica prije utoke</c:v>
                </c:pt>
                <c:pt idx="2">
                  <c:v>Kupa kupalište</c:v>
                </c:pt>
                <c:pt idx="3">
                  <c:v>Kupa poslije utoke Petrinjčice</c:v>
                </c:pt>
              </c:strCache>
            </c:strRef>
          </c:cat>
          <c:val>
            <c:numRef>
              <c:f>List5!$C$4:$F$4</c:f>
              <c:numCache>
                <c:formatCode>General</c:formatCode>
                <c:ptCount val="4"/>
                <c:pt idx="0">
                  <c:v>12</c:v>
                </c:pt>
                <c:pt idx="1">
                  <c:v>23</c:v>
                </c:pt>
                <c:pt idx="2">
                  <c:v>55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List5!$B$5</c:f>
              <c:strCache>
                <c:ptCount val="1"/>
                <c:pt idx="0">
                  <c:v>Nematode-oblići </c:v>
                </c:pt>
              </c:strCache>
            </c:strRef>
          </c:tx>
          <c:invertIfNegative val="0"/>
          <c:cat>
            <c:strRef>
              <c:f>List5!$C$3:$F$3</c:f>
              <c:strCache>
                <c:ptCount val="4"/>
                <c:pt idx="0">
                  <c:v>Bernićev most</c:v>
                </c:pt>
                <c:pt idx="1">
                  <c:v>Petrinjčica prije utoke</c:v>
                </c:pt>
                <c:pt idx="2">
                  <c:v>Kupa kupalište</c:v>
                </c:pt>
                <c:pt idx="3">
                  <c:v>Kupa poslije utoke Petrinjčice</c:v>
                </c:pt>
              </c:strCache>
            </c:strRef>
          </c:cat>
          <c:val>
            <c:numRef>
              <c:f>List5!$C$5:$F$5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736128"/>
        <c:axId val="268296768"/>
      </c:barChart>
      <c:catAx>
        <c:axId val="16273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 baseline="0">
                    <a:latin typeface="Arial" panose="020B0604020202020204" pitchFamily="34" charset="0"/>
                  </a:rPr>
                  <a:t>Hidrološke postaje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sr-Latn-RS"/>
          </a:p>
        </c:txPr>
        <c:crossAx val="268296768"/>
        <c:crosses val="autoZero"/>
        <c:auto val="1"/>
        <c:lblAlgn val="ctr"/>
        <c:lblOffset val="100"/>
        <c:noMultiLvlLbl val="0"/>
      </c:catAx>
      <c:valAx>
        <c:axId val="26829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" panose="020B0604020202020204" pitchFamily="34" charset="0"/>
              </a:defRPr>
            </a:pPr>
            <a:endParaRPr lang="sr-Latn-RS"/>
          </a:p>
        </c:txPr>
        <c:crossAx val="16273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18998162439362"/>
          <c:y val="0.33318180588251206"/>
          <c:w val="0.28781001837560632"/>
          <c:h val="0.32218163451218085"/>
        </c:manualLayout>
      </c:layout>
      <c:overlay val="0"/>
      <c:txPr>
        <a:bodyPr/>
        <a:lstStyle/>
        <a:p>
          <a:pPr>
            <a:defRPr baseline="0">
              <a:latin typeface="Arial" panose="020B0604020202020204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27CB-73B2-4733-AC8A-2938896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</cp:lastModifiedBy>
  <cp:revision>3</cp:revision>
  <dcterms:created xsi:type="dcterms:W3CDTF">2015-05-08T09:11:00Z</dcterms:created>
  <dcterms:modified xsi:type="dcterms:W3CDTF">2015-05-08T09:12:00Z</dcterms:modified>
</cp:coreProperties>
</file>