
<file path=[Content_Types].xml><?xml version="1.0" encoding="utf-8"?>
<Types xmlns="http://schemas.openxmlformats.org/package/2006/content-types">
  <Default Extension="bin" ContentType="application/vnd.openxmlformats-officedocument.oleObject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3D" w:rsidRPr="009010BD" w:rsidRDefault="00FA6544" w:rsidP="00D77D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10BD">
        <w:rPr>
          <w:rFonts w:ascii="Arial" w:hAnsi="Arial" w:cs="Arial"/>
          <w:b/>
          <w:sz w:val="20"/>
          <w:szCs w:val="20"/>
        </w:rPr>
        <w:t>KLIMATSKE  (NE)PRILIKE U 2014.</w:t>
      </w:r>
    </w:p>
    <w:p w:rsidR="00E829B2" w:rsidRPr="009010BD" w:rsidRDefault="00E829B2" w:rsidP="00D77D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6544" w:rsidRPr="009010BD" w:rsidRDefault="00FA6544" w:rsidP="00D77D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UČENICE: L</w:t>
      </w:r>
      <w:r w:rsidR="001A2A83" w:rsidRPr="009010BD">
        <w:rPr>
          <w:rFonts w:ascii="Arial" w:hAnsi="Arial" w:cs="Arial"/>
          <w:sz w:val="20"/>
          <w:szCs w:val="20"/>
        </w:rPr>
        <w:t>eona Vidov, Petra Kurtin, Karla</w:t>
      </w:r>
      <w:r w:rsidRPr="009010BD">
        <w:rPr>
          <w:rFonts w:ascii="Arial" w:hAnsi="Arial" w:cs="Arial"/>
          <w:sz w:val="20"/>
          <w:szCs w:val="20"/>
        </w:rPr>
        <w:t xml:space="preserve"> Školjarev</w:t>
      </w:r>
    </w:p>
    <w:p w:rsidR="00FA6544" w:rsidRPr="009010BD" w:rsidRDefault="00FA6544" w:rsidP="00D77D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ŠKOLA: OŠ „ Valentin Klarin „ Preko</w:t>
      </w:r>
    </w:p>
    <w:p w:rsidR="00FA6544" w:rsidRPr="009010BD" w:rsidRDefault="00FA6544" w:rsidP="00D77D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MENTOR: Jasminka Dubravica</w:t>
      </w:r>
    </w:p>
    <w:p w:rsidR="00FA6544" w:rsidRPr="009010BD" w:rsidRDefault="00FA6544" w:rsidP="008C64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                 </w:t>
      </w:r>
      <w:r w:rsidR="001A2A83" w:rsidRPr="009010BD">
        <w:rPr>
          <w:rFonts w:ascii="Arial" w:hAnsi="Arial" w:cs="Arial"/>
          <w:sz w:val="20"/>
          <w:szCs w:val="20"/>
        </w:rPr>
        <w:t xml:space="preserve">                  </w:t>
      </w:r>
    </w:p>
    <w:p w:rsidR="00FA6544" w:rsidRPr="009010BD" w:rsidRDefault="00FA6544" w:rsidP="00FA6544">
      <w:pPr>
        <w:rPr>
          <w:rFonts w:ascii="Arial" w:hAnsi="Arial" w:cs="Arial"/>
          <w:sz w:val="20"/>
          <w:szCs w:val="20"/>
        </w:rPr>
      </w:pPr>
    </w:p>
    <w:p w:rsidR="00FA6544" w:rsidRPr="009010BD" w:rsidRDefault="00FA654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 xml:space="preserve">Istraživačko pitanje/hipoteza: </w:t>
      </w:r>
      <w:r w:rsidRPr="009010BD">
        <w:rPr>
          <w:rFonts w:ascii="Arial" w:hAnsi="Arial" w:cs="Arial"/>
          <w:sz w:val="20"/>
          <w:szCs w:val="20"/>
        </w:rPr>
        <w:t xml:space="preserve">Istražili smo kakva je bila prošla 2014. </w:t>
      </w:r>
      <w:r w:rsidR="009111E7" w:rsidRPr="009010BD">
        <w:rPr>
          <w:rFonts w:ascii="Arial" w:hAnsi="Arial" w:cs="Arial"/>
          <w:sz w:val="20"/>
          <w:szCs w:val="20"/>
        </w:rPr>
        <w:t>g</w:t>
      </w:r>
      <w:r w:rsidRPr="009010BD">
        <w:rPr>
          <w:rFonts w:ascii="Arial" w:hAnsi="Arial" w:cs="Arial"/>
          <w:sz w:val="20"/>
          <w:szCs w:val="20"/>
        </w:rPr>
        <w:t>odina i da li je bilo kakvih ekstremnih meteoroloških pojava.</w:t>
      </w:r>
    </w:p>
    <w:p w:rsidR="00FA6544" w:rsidRPr="009010BD" w:rsidRDefault="00FA654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 xml:space="preserve">Metode istraživanja: </w:t>
      </w:r>
      <w:r w:rsidR="001A2A83" w:rsidRPr="009010BD">
        <w:rPr>
          <w:rFonts w:ascii="Arial" w:hAnsi="Arial" w:cs="Arial"/>
          <w:sz w:val="20"/>
          <w:szCs w:val="20"/>
        </w:rPr>
        <w:t xml:space="preserve">Za naš projekt odlučili </w:t>
      </w:r>
      <w:r w:rsidRPr="009010BD">
        <w:rPr>
          <w:rFonts w:ascii="Arial" w:hAnsi="Arial" w:cs="Arial"/>
          <w:sz w:val="20"/>
          <w:szCs w:val="20"/>
        </w:rPr>
        <w:t xml:space="preserve"> smo </w:t>
      </w:r>
      <w:r w:rsidR="00023CAD" w:rsidRPr="009010BD">
        <w:rPr>
          <w:rFonts w:ascii="Arial" w:hAnsi="Arial" w:cs="Arial"/>
          <w:sz w:val="20"/>
          <w:szCs w:val="20"/>
        </w:rPr>
        <w:t xml:space="preserve">istražiti </w:t>
      </w:r>
      <w:r w:rsidR="00D77DFC" w:rsidRPr="009010BD">
        <w:rPr>
          <w:rFonts w:ascii="Arial" w:hAnsi="Arial" w:cs="Arial"/>
          <w:sz w:val="20"/>
          <w:szCs w:val="20"/>
        </w:rPr>
        <w:t>p</w:t>
      </w:r>
      <w:r w:rsidRPr="009010BD">
        <w:rPr>
          <w:rFonts w:ascii="Arial" w:hAnsi="Arial" w:cs="Arial"/>
          <w:sz w:val="20"/>
          <w:szCs w:val="20"/>
        </w:rPr>
        <w:t>rosječne  mjesečne i  godišnju temperaturu zraka, kao i ukupnu količinu oborin</w:t>
      </w:r>
      <w:r w:rsidR="00CE2A0E" w:rsidRPr="009010BD">
        <w:rPr>
          <w:rFonts w:ascii="Arial" w:hAnsi="Arial" w:cs="Arial"/>
          <w:sz w:val="20"/>
          <w:szCs w:val="20"/>
        </w:rPr>
        <w:t>e</w:t>
      </w:r>
      <w:r w:rsidRPr="009010BD">
        <w:rPr>
          <w:rFonts w:ascii="Arial" w:hAnsi="Arial" w:cs="Arial"/>
          <w:sz w:val="20"/>
          <w:szCs w:val="20"/>
        </w:rPr>
        <w:t xml:space="preserve"> u 2014. u Preku</w:t>
      </w:r>
      <w:r w:rsidR="00023CAD" w:rsidRPr="009010BD">
        <w:rPr>
          <w:rFonts w:ascii="Arial" w:hAnsi="Arial" w:cs="Arial"/>
          <w:sz w:val="20"/>
          <w:szCs w:val="20"/>
        </w:rPr>
        <w:t>, i te vrijednosi usporediti s podacima Zadra</w:t>
      </w:r>
      <w:r w:rsidR="00A06906">
        <w:rPr>
          <w:rFonts w:ascii="Arial" w:hAnsi="Arial" w:cs="Arial"/>
          <w:sz w:val="20"/>
          <w:szCs w:val="20"/>
        </w:rPr>
        <w:t>.</w:t>
      </w:r>
    </w:p>
    <w:p w:rsidR="00FA6544" w:rsidRPr="009010BD" w:rsidRDefault="00FA654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Koristili smo naše podatke,  i podatke o višegodišnjem projseku (1961</w:t>
      </w:r>
      <w:r w:rsidR="00A06906">
        <w:rPr>
          <w:rFonts w:ascii="Arial" w:hAnsi="Arial" w:cs="Arial"/>
          <w:sz w:val="20"/>
          <w:szCs w:val="20"/>
        </w:rPr>
        <w:t xml:space="preserve">. – </w:t>
      </w:r>
      <w:r w:rsidRPr="009010BD">
        <w:rPr>
          <w:rFonts w:ascii="Arial" w:hAnsi="Arial" w:cs="Arial"/>
          <w:sz w:val="20"/>
          <w:szCs w:val="20"/>
        </w:rPr>
        <w:t>1990</w:t>
      </w:r>
      <w:r w:rsidR="00A06906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) iz nama najbliže</w:t>
      </w:r>
      <w:r w:rsidR="00CE2A0E" w:rsidRPr="009010BD">
        <w:rPr>
          <w:rFonts w:ascii="Arial" w:hAnsi="Arial" w:cs="Arial"/>
          <w:sz w:val="20"/>
          <w:szCs w:val="20"/>
        </w:rPr>
        <w:t xml:space="preserve"> profesionalne meteorološke </w:t>
      </w:r>
      <w:r w:rsidRPr="009010BD">
        <w:rPr>
          <w:rFonts w:ascii="Arial" w:hAnsi="Arial" w:cs="Arial"/>
          <w:sz w:val="20"/>
          <w:szCs w:val="20"/>
        </w:rPr>
        <w:t xml:space="preserve"> postaje u Zadru</w:t>
      </w:r>
      <w:r w:rsidR="00C62273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</w:t>
      </w:r>
      <w:r w:rsidR="00CE2A0E" w:rsidRPr="009010BD">
        <w:rPr>
          <w:rFonts w:ascii="Arial" w:hAnsi="Arial" w:cs="Arial"/>
          <w:sz w:val="20"/>
          <w:szCs w:val="20"/>
        </w:rPr>
        <w:t xml:space="preserve"> Državnog hidrometeorološkog zavoda  (</w:t>
      </w:r>
      <w:r w:rsidRPr="009010BD">
        <w:rPr>
          <w:rFonts w:ascii="Arial" w:hAnsi="Arial" w:cs="Arial"/>
          <w:sz w:val="20"/>
          <w:szCs w:val="20"/>
        </w:rPr>
        <w:t xml:space="preserve"> DHMZ-a</w:t>
      </w:r>
      <w:r w:rsidR="00CE2A0E" w:rsidRPr="009010BD">
        <w:rPr>
          <w:rFonts w:ascii="Arial" w:hAnsi="Arial" w:cs="Arial"/>
          <w:sz w:val="20"/>
          <w:szCs w:val="20"/>
        </w:rPr>
        <w:t>)</w:t>
      </w:r>
      <w:r w:rsidRPr="009010BD">
        <w:rPr>
          <w:rFonts w:ascii="Arial" w:hAnsi="Arial" w:cs="Arial"/>
          <w:sz w:val="20"/>
          <w:szCs w:val="20"/>
        </w:rPr>
        <w:t xml:space="preserve">. </w:t>
      </w:r>
    </w:p>
    <w:p w:rsidR="00FA6544" w:rsidRPr="009010BD" w:rsidRDefault="00FA654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Internet smo koristili da doznamo više o klimatskim zbivanjima u 2014. u Hrvatskoj. Također su nam puno pomogle službene internetske stranice DHMZ-a.</w:t>
      </w:r>
    </w:p>
    <w:p w:rsidR="00FA6544" w:rsidRPr="009010BD" w:rsidRDefault="00FA6544" w:rsidP="00FA6544">
      <w:pPr>
        <w:rPr>
          <w:rFonts w:ascii="Arial" w:hAnsi="Arial" w:cs="Arial"/>
          <w:b/>
          <w:bCs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>Prikaz i analiza podataka:</w:t>
      </w:r>
    </w:p>
    <w:p w:rsidR="00FA6544" w:rsidRPr="009010BD" w:rsidRDefault="008C641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Ovo istraživanje nas je podsjetilo da smo već istraživali klim</w:t>
      </w:r>
      <w:r w:rsidR="001A2A83" w:rsidRPr="009010BD">
        <w:rPr>
          <w:rFonts w:ascii="Arial" w:hAnsi="Arial" w:cs="Arial"/>
          <w:sz w:val="20"/>
          <w:szCs w:val="20"/>
        </w:rPr>
        <w:t>atske pr</w:t>
      </w:r>
      <w:r w:rsidR="00CE2A0E" w:rsidRPr="009010BD">
        <w:rPr>
          <w:rFonts w:ascii="Arial" w:hAnsi="Arial" w:cs="Arial"/>
          <w:sz w:val="20"/>
          <w:szCs w:val="20"/>
        </w:rPr>
        <w:t>ilike</w:t>
      </w:r>
      <w:r w:rsidR="001A2A83" w:rsidRPr="009010BD">
        <w:rPr>
          <w:rFonts w:ascii="Arial" w:hAnsi="Arial" w:cs="Arial"/>
          <w:sz w:val="20"/>
          <w:szCs w:val="20"/>
        </w:rPr>
        <w:t>, ali u 2011.</w:t>
      </w:r>
      <w:r w:rsidR="00CE2A0E" w:rsidRPr="009010BD">
        <w:rPr>
          <w:rFonts w:ascii="Arial" w:hAnsi="Arial" w:cs="Arial"/>
          <w:sz w:val="20"/>
          <w:szCs w:val="20"/>
        </w:rPr>
        <w:t>,</w:t>
      </w:r>
      <w:r w:rsidR="00ED5669" w:rsidRPr="009010BD">
        <w:rPr>
          <w:rFonts w:ascii="Arial" w:hAnsi="Arial" w:cs="Arial"/>
          <w:sz w:val="20"/>
          <w:szCs w:val="20"/>
        </w:rPr>
        <w:t xml:space="preserve"> k</w:t>
      </w:r>
      <w:r w:rsidRPr="009010BD">
        <w:rPr>
          <w:rFonts w:ascii="Arial" w:hAnsi="Arial" w:cs="Arial"/>
          <w:sz w:val="20"/>
          <w:szCs w:val="20"/>
        </w:rPr>
        <w:t>oja je bila izrazito sušna godina</w:t>
      </w:r>
      <w:r w:rsidR="00C62273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i kao takva donijela mnoge katastrofal</w:t>
      </w:r>
      <w:r w:rsidR="00196856" w:rsidRPr="009010BD">
        <w:rPr>
          <w:rFonts w:ascii="Arial" w:hAnsi="Arial" w:cs="Arial"/>
          <w:sz w:val="20"/>
          <w:szCs w:val="20"/>
        </w:rPr>
        <w:t xml:space="preserve">ne posljedice. Pošto je 2014. </w:t>
      </w:r>
      <w:r w:rsidRPr="009010BD">
        <w:rPr>
          <w:rFonts w:ascii="Arial" w:hAnsi="Arial" w:cs="Arial"/>
          <w:sz w:val="20"/>
          <w:szCs w:val="20"/>
        </w:rPr>
        <w:t>obilovala oborin</w:t>
      </w:r>
      <w:r w:rsidR="00CE2A0E" w:rsidRPr="009010BD">
        <w:rPr>
          <w:rFonts w:ascii="Arial" w:hAnsi="Arial" w:cs="Arial"/>
          <w:sz w:val="20"/>
          <w:szCs w:val="20"/>
        </w:rPr>
        <w:t>om</w:t>
      </w:r>
      <w:r w:rsidRPr="009010BD">
        <w:rPr>
          <w:rFonts w:ascii="Arial" w:hAnsi="Arial" w:cs="Arial"/>
          <w:sz w:val="20"/>
          <w:szCs w:val="20"/>
        </w:rPr>
        <w:t>, posebice u ljetno</w:t>
      </w:r>
      <w:r w:rsidR="00ED5669" w:rsidRPr="009010BD">
        <w:rPr>
          <w:rFonts w:ascii="Arial" w:hAnsi="Arial" w:cs="Arial"/>
          <w:sz w:val="20"/>
          <w:szCs w:val="20"/>
        </w:rPr>
        <w:t xml:space="preserve">m periodu, odlučili smo </w:t>
      </w:r>
      <w:r w:rsidR="00CE2A0E" w:rsidRPr="009010BD">
        <w:rPr>
          <w:rFonts w:ascii="Arial" w:hAnsi="Arial" w:cs="Arial"/>
          <w:sz w:val="20"/>
          <w:szCs w:val="20"/>
        </w:rPr>
        <w:t>to</w:t>
      </w:r>
      <w:r w:rsidR="00ED5669" w:rsidRPr="009010BD">
        <w:rPr>
          <w:rFonts w:ascii="Arial" w:hAnsi="Arial" w:cs="Arial"/>
          <w:sz w:val="20"/>
          <w:szCs w:val="20"/>
        </w:rPr>
        <w:t xml:space="preserve"> detaljnije istražiti.</w:t>
      </w:r>
    </w:p>
    <w:p w:rsidR="00FA6544" w:rsidRPr="009010BD" w:rsidRDefault="00FA654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Svakodnevno mjerimo trenutne, minimalne i maksimalne temperature zraka</w:t>
      </w:r>
      <w:r w:rsidR="00C62273" w:rsidRPr="009010BD">
        <w:rPr>
          <w:rFonts w:ascii="Arial" w:hAnsi="Arial" w:cs="Arial"/>
          <w:sz w:val="20"/>
          <w:szCs w:val="20"/>
        </w:rPr>
        <w:t xml:space="preserve"> i oborinu</w:t>
      </w:r>
      <w:r w:rsidRPr="009010BD">
        <w:rPr>
          <w:rFonts w:ascii="Arial" w:hAnsi="Arial" w:cs="Arial"/>
          <w:sz w:val="20"/>
          <w:szCs w:val="20"/>
        </w:rPr>
        <w:t>. U 2014. nismo imali ni jedan dan prekida u mjerenju. Stoga smo za naš projekt koristili naše podatke o temperaturi i oborin</w:t>
      </w:r>
      <w:r w:rsidR="00CE2A0E" w:rsidRPr="009010BD">
        <w:rPr>
          <w:rFonts w:ascii="Arial" w:hAnsi="Arial" w:cs="Arial"/>
          <w:sz w:val="20"/>
          <w:szCs w:val="20"/>
        </w:rPr>
        <w:t>i</w:t>
      </w:r>
      <w:r w:rsidRPr="009010BD">
        <w:rPr>
          <w:rFonts w:ascii="Arial" w:hAnsi="Arial" w:cs="Arial"/>
          <w:sz w:val="20"/>
          <w:szCs w:val="20"/>
        </w:rPr>
        <w:t>.</w:t>
      </w:r>
    </w:p>
    <w:p w:rsidR="00FA6544" w:rsidRPr="009010BD" w:rsidRDefault="00FA654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Najprije smo izračunali srednje dnevne te srednje mjesečne temperature zraka (na našoj </w:t>
      </w:r>
      <w:r w:rsidR="00257749" w:rsidRPr="009010BD">
        <w:rPr>
          <w:rFonts w:ascii="Arial" w:hAnsi="Arial" w:cs="Arial"/>
          <w:sz w:val="20"/>
          <w:szCs w:val="20"/>
        </w:rPr>
        <w:t xml:space="preserve">GLOBE </w:t>
      </w:r>
      <w:r w:rsidRPr="009010BD">
        <w:rPr>
          <w:rFonts w:ascii="Arial" w:hAnsi="Arial" w:cs="Arial"/>
          <w:sz w:val="20"/>
          <w:szCs w:val="20"/>
        </w:rPr>
        <w:t>postaji u Preku) :</w:t>
      </w:r>
    </w:p>
    <w:p w:rsidR="00FA6544" w:rsidRPr="009010BD" w:rsidRDefault="00FA6544" w:rsidP="00FA6544">
      <w:pPr>
        <w:rPr>
          <w:rFonts w:ascii="Arial" w:hAnsi="Arial" w:cs="Arial"/>
          <w:sz w:val="20"/>
          <w:szCs w:val="20"/>
          <w:lang w:eastAsia="hr-HR"/>
        </w:rPr>
      </w:pPr>
      <w:r w:rsidRPr="009010BD">
        <w:rPr>
          <w:rFonts w:ascii="Arial" w:hAnsi="Arial" w:cs="Arial"/>
          <w:sz w:val="20"/>
          <w:szCs w:val="20"/>
          <w:lang w:eastAsia="hr-HR"/>
        </w:rPr>
        <w:t>Srednje dnevne temperature izračunali smo p</w:t>
      </w:r>
      <w:r w:rsidR="00CE2A0E" w:rsidRPr="009010BD">
        <w:rPr>
          <w:rFonts w:ascii="Arial" w:hAnsi="Arial" w:cs="Arial"/>
          <w:sz w:val="20"/>
          <w:szCs w:val="20"/>
          <w:lang w:eastAsia="hr-HR"/>
        </w:rPr>
        <w:t>rema</w:t>
      </w:r>
      <w:r w:rsidRPr="009010BD">
        <w:rPr>
          <w:rFonts w:ascii="Arial" w:hAnsi="Arial" w:cs="Arial"/>
          <w:sz w:val="20"/>
          <w:szCs w:val="20"/>
          <w:lang w:eastAsia="hr-HR"/>
        </w:rPr>
        <w:t xml:space="preserve"> formuli:</w:t>
      </w:r>
    </w:p>
    <w:p w:rsidR="00FA6544" w:rsidRPr="009010BD" w:rsidRDefault="00FA6544" w:rsidP="00FA654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 (T</w:t>
      </w:r>
      <w:r w:rsidRPr="009010BD">
        <w:rPr>
          <w:rFonts w:ascii="Arial" w:hAnsi="Arial" w:cs="Arial"/>
          <w:position w:val="-6"/>
          <w:sz w:val="20"/>
          <w:szCs w:val="20"/>
        </w:rPr>
        <w:t>sredD</w:t>
      </w:r>
      <w:r w:rsidRPr="009010BD">
        <w:rPr>
          <w:rFonts w:ascii="Arial" w:hAnsi="Arial" w:cs="Arial"/>
          <w:sz w:val="20"/>
          <w:szCs w:val="20"/>
        </w:rPr>
        <w:t>) =  (T</w:t>
      </w:r>
      <w:r w:rsidRPr="009010BD">
        <w:rPr>
          <w:rFonts w:ascii="Arial" w:hAnsi="Arial" w:cs="Arial"/>
          <w:position w:val="-6"/>
          <w:sz w:val="20"/>
          <w:szCs w:val="20"/>
        </w:rPr>
        <w:t>max</w:t>
      </w:r>
      <w:r w:rsidRPr="009010BD">
        <w:rPr>
          <w:rFonts w:ascii="Arial" w:hAnsi="Arial" w:cs="Arial"/>
          <w:sz w:val="20"/>
          <w:szCs w:val="20"/>
        </w:rPr>
        <w:t xml:space="preserve"> + T</w:t>
      </w:r>
      <w:r w:rsidRPr="009010BD">
        <w:rPr>
          <w:rFonts w:ascii="Arial" w:hAnsi="Arial" w:cs="Arial"/>
          <w:position w:val="-6"/>
          <w:sz w:val="20"/>
          <w:szCs w:val="20"/>
        </w:rPr>
        <w:t>min</w:t>
      </w:r>
      <w:r w:rsidRPr="009010BD">
        <w:rPr>
          <w:rFonts w:ascii="Arial" w:hAnsi="Arial" w:cs="Arial"/>
          <w:sz w:val="20"/>
          <w:szCs w:val="20"/>
        </w:rPr>
        <w:t>) / 2</w:t>
      </w:r>
    </w:p>
    <w:p w:rsidR="00ED5669" w:rsidRPr="009010BD" w:rsidRDefault="00ED5669" w:rsidP="00FA654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A srednje mjesečne:</w:t>
      </w:r>
    </w:p>
    <w:p w:rsidR="00ED5669" w:rsidRPr="009010BD" w:rsidRDefault="00ED5669" w:rsidP="00ED5669">
      <w:pPr>
        <w:pStyle w:val="Heading1"/>
        <w:jc w:val="both"/>
        <w:rPr>
          <w:b w:val="0"/>
          <w:bCs w:val="0"/>
          <w:sz w:val="20"/>
          <w:szCs w:val="20"/>
        </w:rPr>
      </w:pPr>
      <w:r w:rsidRPr="009010BD">
        <w:rPr>
          <w:b w:val="0"/>
          <w:bCs w:val="0"/>
          <w:sz w:val="20"/>
          <w:szCs w:val="20"/>
        </w:rPr>
        <w:t>T</w:t>
      </w:r>
      <w:r w:rsidRPr="009010BD">
        <w:rPr>
          <w:b w:val="0"/>
          <w:bCs w:val="0"/>
          <w:position w:val="-6"/>
          <w:sz w:val="20"/>
          <w:szCs w:val="20"/>
        </w:rPr>
        <w:t>sredM</w:t>
      </w:r>
      <w:r w:rsidRPr="009010BD">
        <w:rPr>
          <w:b w:val="0"/>
          <w:bCs w:val="0"/>
          <w:sz w:val="20"/>
          <w:szCs w:val="20"/>
        </w:rPr>
        <w:t xml:space="preserve"> = (T</w:t>
      </w:r>
      <w:r w:rsidRPr="009010BD">
        <w:rPr>
          <w:b w:val="0"/>
          <w:bCs w:val="0"/>
          <w:position w:val="-6"/>
          <w:sz w:val="20"/>
          <w:szCs w:val="20"/>
        </w:rPr>
        <w:t>sredD1</w:t>
      </w:r>
      <w:r w:rsidRPr="009010BD">
        <w:rPr>
          <w:b w:val="0"/>
          <w:bCs w:val="0"/>
          <w:sz w:val="20"/>
          <w:szCs w:val="20"/>
        </w:rPr>
        <w:t xml:space="preserve"> + T</w:t>
      </w:r>
      <w:r w:rsidRPr="009010BD">
        <w:rPr>
          <w:b w:val="0"/>
          <w:bCs w:val="0"/>
          <w:position w:val="-6"/>
          <w:sz w:val="20"/>
          <w:szCs w:val="20"/>
        </w:rPr>
        <w:t>sredD2</w:t>
      </w:r>
      <w:r w:rsidRPr="009010BD">
        <w:rPr>
          <w:b w:val="0"/>
          <w:bCs w:val="0"/>
          <w:sz w:val="20"/>
          <w:szCs w:val="20"/>
        </w:rPr>
        <w:t xml:space="preserve"> + … + T</w:t>
      </w:r>
      <w:r w:rsidRPr="009010BD">
        <w:rPr>
          <w:b w:val="0"/>
          <w:bCs w:val="0"/>
          <w:position w:val="-6"/>
          <w:sz w:val="20"/>
          <w:szCs w:val="20"/>
        </w:rPr>
        <w:t>sredD28</w:t>
      </w:r>
      <w:r w:rsidRPr="009010BD">
        <w:rPr>
          <w:b w:val="0"/>
          <w:bCs w:val="0"/>
          <w:sz w:val="20"/>
          <w:szCs w:val="20"/>
        </w:rPr>
        <w:t xml:space="preserve"> + … + T</w:t>
      </w:r>
      <w:r w:rsidRPr="009010BD">
        <w:rPr>
          <w:b w:val="0"/>
          <w:bCs w:val="0"/>
          <w:position w:val="-6"/>
          <w:sz w:val="20"/>
          <w:szCs w:val="20"/>
        </w:rPr>
        <w:t>sredD31</w:t>
      </w:r>
      <w:r w:rsidRPr="009010BD">
        <w:rPr>
          <w:b w:val="0"/>
          <w:bCs w:val="0"/>
          <w:sz w:val="20"/>
          <w:szCs w:val="20"/>
        </w:rPr>
        <w:t xml:space="preserve">) / Broj dana u mjesecu </w:t>
      </w:r>
    </w:p>
    <w:p w:rsidR="00A06906" w:rsidRDefault="00A06906" w:rsidP="00FA6544">
      <w:pPr>
        <w:rPr>
          <w:rFonts w:ascii="Arial" w:hAnsi="Arial" w:cs="Arial"/>
          <w:noProof/>
          <w:sz w:val="20"/>
          <w:szCs w:val="20"/>
        </w:rPr>
      </w:pPr>
    </w:p>
    <w:p w:rsidR="00FA6544" w:rsidRDefault="00FA6544" w:rsidP="00FA6544">
      <w:pPr>
        <w:rPr>
          <w:rFonts w:ascii="Arial" w:hAnsi="Arial" w:cs="Arial"/>
          <w:noProof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</w:rPr>
        <w:t>Zatim smo izračunali srednju godišnju temperaturu p</w:t>
      </w:r>
      <w:r w:rsidR="00CE2A0E" w:rsidRPr="009010BD">
        <w:rPr>
          <w:rFonts w:ascii="Arial" w:hAnsi="Arial" w:cs="Arial"/>
          <w:noProof/>
          <w:sz w:val="20"/>
          <w:szCs w:val="20"/>
        </w:rPr>
        <w:t>rema</w:t>
      </w:r>
      <w:r w:rsidRPr="009010BD">
        <w:rPr>
          <w:rFonts w:ascii="Arial" w:hAnsi="Arial" w:cs="Arial"/>
          <w:noProof/>
          <w:sz w:val="20"/>
          <w:szCs w:val="20"/>
        </w:rPr>
        <w:t xml:space="preserve"> formuli:</w:t>
      </w:r>
    </w:p>
    <w:p w:rsidR="00A06906" w:rsidRPr="009010BD" w:rsidRDefault="00A06906" w:rsidP="00FA6544">
      <w:pPr>
        <w:rPr>
          <w:rFonts w:ascii="Arial" w:hAnsi="Arial" w:cs="Arial"/>
          <w:noProof/>
          <w:sz w:val="20"/>
          <w:szCs w:val="20"/>
        </w:rPr>
      </w:pPr>
    </w:p>
    <w:p w:rsidR="00FA6544" w:rsidRPr="009010BD" w:rsidRDefault="00FA6544" w:rsidP="00FA654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T</w:t>
      </w:r>
      <w:r w:rsidRPr="009010BD">
        <w:rPr>
          <w:rFonts w:ascii="Arial" w:hAnsi="Arial" w:cs="Arial"/>
          <w:position w:val="-6"/>
          <w:sz w:val="20"/>
          <w:szCs w:val="20"/>
        </w:rPr>
        <w:t>sredG</w:t>
      </w:r>
      <w:r w:rsidRPr="009010BD">
        <w:rPr>
          <w:rFonts w:ascii="Arial" w:hAnsi="Arial" w:cs="Arial"/>
          <w:sz w:val="20"/>
          <w:szCs w:val="20"/>
        </w:rPr>
        <w:t xml:space="preserve"> = (T</w:t>
      </w:r>
      <w:r w:rsidRPr="009010BD">
        <w:rPr>
          <w:rFonts w:ascii="Arial" w:hAnsi="Arial" w:cs="Arial"/>
          <w:position w:val="-6"/>
          <w:sz w:val="20"/>
          <w:szCs w:val="20"/>
        </w:rPr>
        <w:t>sredM1</w:t>
      </w:r>
      <w:r w:rsidRPr="009010BD">
        <w:rPr>
          <w:rFonts w:ascii="Arial" w:hAnsi="Arial" w:cs="Arial"/>
          <w:sz w:val="20"/>
          <w:szCs w:val="20"/>
        </w:rPr>
        <w:t xml:space="preserve"> + T</w:t>
      </w:r>
      <w:r w:rsidRPr="009010BD">
        <w:rPr>
          <w:rFonts w:ascii="Arial" w:hAnsi="Arial" w:cs="Arial"/>
          <w:position w:val="-6"/>
          <w:sz w:val="20"/>
          <w:szCs w:val="20"/>
        </w:rPr>
        <w:t>sredM2</w:t>
      </w:r>
      <w:r w:rsidRPr="009010BD">
        <w:rPr>
          <w:rFonts w:ascii="Arial" w:hAnsi="Arial" w:cs="Arial"/>
          <w:sz w:val="20"/>
          <w:szCs w:val="20"/>
        </w:rPr>
        <w:t xml:space="preserve"> + … + T</w:t>
      </w:r>
      <w:r w:rsidRPr="009010BD">
        <w:rPr>
          <w:rFonts w:ascii="Arial" w:hAnsi="Arial" w:cs="Arial"/>
          <w:position w:val="-6"/>
          <w:sz w:val="20"/>
          <w:szCs w:val="20"/>
        </w:rPr>
        <w:t>sredM11</w:t>
      </w:r>
      <w:r w:rsidRPr="009010BD">
        <w:rPr>
          <w:rFonts w:ascii="Arial" w:hAnsi="Arial" w:cs="Arial"/>
          <w:sz w:val="20"/>
          <w:szCs w:val="20"/>
        </w:rPr>
        <w:t xml:space="preserve"> + T</w:t>
      </w:r>
      <w:r w:rsidRPr="009010BD">
        <w:rPr>
          <w:rFonts w:ascii="Arial" w:hAnsi="Arial" w:cs="Arial"/>
          <w:position w:val="-6"/>
          <w:sz w:val="20"/>
          <w:szCs w:val="20"/>
        </w:rPr>
        <w:t>sredM12</w:t>
      </w:r>
      <w:r w:rsidRPr="009010BD">
        <w:rPr>
          <w:rFonts w:ascii="Arial" w:hAnsi="Arial" w:cs="Arial"/>
          <w:sz w:val="20"/>
          <w:szCs w:val="20"/>
        </w:rPr>
        <w:t>) / 12</w:t>
      </w:r>
    </w:p>
    <w:p w:rsidR="00FA6544" w:rsidRPr="009010BD" w:rsidRDefault="00ED5669" w:rsidP="00FA654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Podatke smo prikazali</w:t>
      </w:r>
      <w:r w:rsidR="00FA6544" w:rsidRPr="009010BD">
        <w:rPr>
          <w:rFonts w:ascii="Arial" w:hAnsi="Arial" w:cs="Arial"/>
          <w:sz w:val="20"/>
          <w:szCs w:val="20"/>
        </w:rPr>
        <w:t xml:space="preserve"> grafički.</w:t>
      </w:r>
    </w:p>
    <w:p w:rsidR="00ED5669" w:rsidRPr="009010BD" w:rsidRDefault="00ED5669" w:rsidP="00FA6544">
      <w:pPr>
        <w:rPr>
          <w:rFonts w:ascii="Arial" w:hAnsi="Arial" w:cs="Arial"/>
          <w:sz w:val="20"/>
          <w:szCs w:val="20"/>
        </w:rPr>
      </w:pPr>
    </w:p>
    <w:p w:rsidR="00ED5669" w:rsidRPr="009010BD" w:rsidRDefault="00CA0FFF" w:rsidP="006E4453">
      <w:pPr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 wp14:anchorId="3E9D855B" wp14:editId="3C11C522">
            <wp:extent cx="4257675" cy="257175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5669" w:rsidRPr="009010BD" w:rsidRDefault="00ED5669" w:rsidP="006E4453">
      <w:pPr>
        <w:ind w:left="708" w:firstLine="708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Graf</w:t>
      </w:r>
      <w:r w:rsidR="00CE2A0E" w:rsidRPr="009010BD">
        <w:rPr>
          <w:rFonts w:ascii="Arial" w:hAnsi="Arial" w:cs="Arial"/>
          <w:sz w:val="20"/>
          <w:szCs w:val="20"/>
        </w:rPr>
        <w:t>ikon</w:t>
      </w:r>
      <w:r w:rsidRPr="009010BD">
        <w:rPr>
          <w:rFonts w:ascii="Arial" w:hAnsi="Arial" w:cs="Arial"/>
          <w:sz w:val="20"/>
          <w:szCs w:val="20"/>
        </w:rPr>
        <w:t xml:space="preserve"> 1. </w:t>
      </w:r>
      <w:r w:rsidR="00CA0FFF" w:rsidRPr="009010BD">
        <w:rPr>
          <w:rFonts w:ascii="Arial" w:hAnsi="Arial" w:cs="Arial"/>
          <w:sz w:val="20"/>
          <w:szCs w:val="20"/>
        </w:rPr>
        <w:t>Srednje mjesečne temperature u Preku i Zadru u 2014.</w:t>
      </w:r>
    </w:p>
    <w:p w:rsidR="008814F7" w:rsidRPr="009010BD" w:rsidRDefault="00676D50" w:rsidP="00FA654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Iz </w:t>
      </w:r>
      <w:r w:rsidR="003F7694">
        <w:rPr>
          <w:rFonts w:ascii="Arial" w:hAnsi="Arial" w:cs="Arial"/>
          <w:sz w:val="20"/>
          <w:szCs w:val="20"/>
        </w:rPr>
        <w:t>G</w:t>
      </w:r>
      <w:r w:rsidRPr="009010BD">
        <w:rPr>
          <w:rFonts w:ascii="Arial" w:hAnsi="Arial" w:cs="Arial"/>
          <w:sz w:val="20"/>
          <w:szCs w:val="20"/>
        </w:rPr>
        <w:t>rafikona 1. se vidi da se srednje mjesečne temperature Preka i Zadra uglavnom podudaraju.</w:t>
      </w:r>
      <w:r w:rsidR="00487E9B">
        <w:rPr>
          <w:rFonts w:ascii="Arial" w:hAnsi="Arial" w:cs="Arial"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>Zadar je naša najbliža meteorolška postaja te smo uzeli njihove podatke za usporedbu.</w:t>
      </w:r>
    </w:p>
    <w:p w:rsidR="00ED5669" w:rsidRPr="009010BD" w:rsidRDefault="007B62B4" w:rsidP="006E4453">
      <w:pPr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0CF2834D" wp14:editId="4EA3E6E1">
            <wp:extent cx="4305300" cy="26003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5A5" w:rsidRDefault="008855A5" w:rsidP="006E4453">
      <w:pPr>
        <w:ind w:left="708"/>
        <w:rPr>
          <w:rFonts w:ascii="Arial" w:hAnsi="Arial" w:cs="Arial"/>
          <w:sz w:val="20"/>
          <w:szCs w:val="20"/>
        </w:rPr>
      </w:pPr>
    </w:p>
    <w:p w:rsidR="00816DFF" w:rsidRPr="009010BD" w:rsidRDefault="009B5A50" w:rsidP="006E4453">
      <w:pPr>
        <w:ind w:left="708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Graf</w:t>
      </w:r>
      <w:r w:rsidR="00B8548E" w:rsidRPr="009010BD">
        <w:rPr>
          <w:rFonts w:ascii="Arial" w:hAnsi="Arial" w:cs="Arial"/>
          <w:sz w:val="20"/>
          <w:szCs w:val="20"/>
        </w:rPr>
        <w:t xml:space="preserve">ikon </w:t>
      </w:r>
      <w:r w:rsidRPr="009010BD">
        <w:rPr>
          <w:rFonts w:ascii="Arial" w:hAnsi="Arial" w:cs="Arial"/>
          <w:sz w:val="20"/>
          <w:szCs w:val="20"/>
        </w:rPr>
        <w:t xml:space="preserve"> 2.</w:t>
      </w:r>
      <w:r w:rsidR="00FE23D4" w:rsidRPr="009010BD">
        <w:rPr>
          <w:rFonts w:ascii="Arial" w:hAnsi="Arial" w:cs="Arial"/>
          <w:sz w:val="20"/>
          <w:szCs w:val="20"/>
        </w:rPr>
        <w:t xml:space="preserve"> </w:t>
      </w:r>
      <w:r w:rsidR="001907C1" w:rsidRPr="009010BD">
        <w:rPr>
          <w:rFonts w:ascii="Arial" w:hAnsi="Arial" w:cs="Arial"/>
          <w:sz w:val="20"/>
          <w:szCs w:val="20"/>
        </w:rPr>
        <w:t>U</w:t>
      </w:r>
      <w:r w:rsidRPr="009010BD">
        <w:rPr>
          <w:rFonts w:ascii="Arial" w:hAnsi="Arial" w:cs="Arial"/>
          <w:sz w:val="20"/>
          <w:szCs w:val="20"/>
        </w:rPr>
        <w:t>sporedba srednjih mjesečnih temperatura u Preku i višegodišnj</w:t>
      </w:r>
      <w:r w:rsidR="001907C1" w:rsidRPr="009010BD">
        <w:rPr>
          <w:rFonts w:ascii="Arial" w:hAnsi="Arial" w:cs="Arial"/>
          <w:sz w:val="20"/>
          <w:szCs w:val="20"/>
        </w:rPr>
        <w:t>eg</w:t>
      </w:r>
      <w:r w:rsidRPr="009010BD">
        <w:rPr>
          <w:rFonts w:ascii="Arial" w:hAnsi="Arial" w:cs="Arial"/>
          <w:sz w:val="20"/>
          <w:szCs w:val="20"/>
        </w:rPr>
        <w:t xml:space="preserve"> prosjek</w:t>
      </w:r>
      <w:r w:rsidR="001907C1" w:rsidRPr="009010BD">
        <w:rPr>
          <w:rFonts w:ascii="Arial" w:hAnsi="Arial" w:cs="Arial"/>
          <w:sz w:val="20"/>
          <w:szCs w:val="20"/>
        </w:rPr>
        <w:t>a</w:t>
      </w:r>
      <w:r w:rsidR="001A2A83" w:rsidRPr="009010BD">
        <w:rPr>
          <w:rFonts w:ascii="Arial" w:hAnsi="Arial" w:cs="Arial"/>
          <w:sz w:val="20"/>
          <w:szCs w:val="20"/>
        </w:rPr>
        <w:t xml:space="preserve"> </w:t>
      </w:r>
      <w:r w:rsidR="001907C1" w:rsidRPr="009010BD">
        <w:rPr>
          <w:rFonts w:ascii="Arial" w:hAnsi="Arial" w:cs="Arial"/>
          <w:sz w:val="20"/>
          <w:szCs w:val="20"/>
        </w:rPr>
        <w:t xml:space="preserve"> (</w:t>
      </w:r>
      <w:r w:rsidR="001A2A83" w:rsidRPr="009010BD">
        <w:rPr>
          <w:rFonts w:ascii="Arial" w:hAnsi="Arial" w:cs="Arial"/>
          <w:sz w:val="20"/>
          <w:szCs w:val="20"/>
        </w:rPr>
        <w:t>1961</w:t>
      </w:r>
      <w:r w:rsidR="00BD4F45">
        <w:rPr>
          <w:rFonts w:ascii="Arial" w:hAnsi="Arial" w:cs="Arial"/>
          <w:sz w:val="20"/>
          <w:szCs w:val="20"/>
        </w:rPr>
        <w:t>.</w:t>
      </w:r>
      <w:r w:rsidR="001A2A83" w:rsidRPr="009010BD">
        <w:rPr>
          <w:rFonts w:ascii="Arial" w:hAnsi="Arial" w:cs="Arial"/>
          <w:sz w:val="20"/>
          <w:szCs w:val="20"/>
        </w:rPr>
        <w:t>-1990</w:t>
      </w:r>
      <w:r w:rsidR="00BD4F45">
        <w:rPr>
          <w:rFonts w:ascii="Arial" w:hAnsi="Arial" w:cs="Arial"/>
          <w:sz w:val="20"/>
          <w:szCs w:val="20"/>
        </w:rPr>
        <w:t>.</w:t>
      </w:r>
      <w:r w:rsidR="001A2A83" w:rsidRPr="009010BD">
        <w:rPr>
          <w:rFonts w:ascii="Arial" w:hAnsi="Arial" w:cs="Arial"/>
          <w:sz w:val="20"/>
          <w:szCs w:val="20"/>
        </w:rPr>
        <w:t>)</w:t>
      </w:r>
      <w:r w:rsidR="001907C1" w:rsidRPr="009010BD">
        <w:rPr>
          <w:rFonts w:ascii="Arial" w:hAnsi="Arial" w:cs="Arial"/>
          <w:sz w:val="20"/>
          <w:szCs w:val="20"/>
        </w:rPr>
        <w:t xml:space="preserve"> u Zadru</w:t>
      </w:r>
    </w:p>
    <w:p w:rsidR="008855A5" w:rsidRDefault="008855A5" w:rsidP="00064F9E">
      <w:pPr>
        <w:jc w:val="both"/>
        <w:rPr>
          <w:rFonts w:ascii="Arial" w:hAnsi="Arial" w:cs="Arial"/>
          <w:sz w:val="20"/>
          <w:szCs w:val="20"/>
        </w:rPr>
      </w:pPr>
    </w:p>
    <w:p w:rsidR="001A2A83" w:rsidRPr="009010BD" w:rsidRDefault="001A2A83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Iz </w:t>
      </w:r>
      <w:r w:rsidR="003F7694">
        <w:rPr>
          <w:rFonts w:ascii="Arial" w:hAnsi="Arial" w:cs="Arial"/>
          <w:sz w:val="20"/>
          <w:szCs w:val="20"/>
        </w:rPr>
        <w:t>G</w:t>
      </w:r>
      <w:r w:rsidRPr="009010BD">
        <w:rPr>
          <w:rFonts w:ascii="Arial" w:hAnsi="Arial" w:cs="Arial"/>
          <w:sz w:val="20"/>
          <w:szCs w:val="20"/>
        </w:rPr>
        <w:t>raf</w:t>
      </w:r>
      <w:r w:rsidR="001907C1" w:rsidRPr="009010BD">
        <w:rPr>
          <w:rFonts w:ascii="Arial" w:hAnsi="Arial" w:cs="Arial"/>
          <w:sz w:val="20"/>
          <w:szCs w:val="20"/>
        </w:rPr>
        <w:t>ikona</w:t>
      </w:r>
      <w:r w:rsidR="00FE23D4" w:rsidRPr="009010BD">
        <w:rPr>
          <w:rFonts w:ascii="Arial" w:hAnsi="Arial" w:cs="Arial"/>
          <w:sz w:val="20"/>
          <w:szCs w:val="20"/>
        </w:rPr>
        <w:t xml:space="preserve"> 2</w:t>
      </w:r>
      <w:r w:rsidRPr="009010BD">
        <w:rPr>
          <w:rFonts w:ascii="Arial" w:hAnsi="Arial" w:cs="Arial"/>
          <w:sz w:val="20"/>
          <w:szCs w:val="20"/>
        </w:rPr>
        <w:t xml:space="preserve"> se vide razlike  jedino u prvim mjesecima, dok </w:t>
      </w:r>
      <w:r w:rsidR="001907C1" w:rsidRPr="009010BD">
        <w:rPr>
          <w:rFonts w:ascii="Arial" w:hAnsi="Arial" w:cs="Arial"/>
          <w:sz w:val="20"/>
          <w:szCs w:val="20"/>
        </w:rPr>
        <w:t xml:space="preserve">se </w:t>
      </w:r>
      <w:r w:rsidRPr="009010BD">
        <w:rPr>
          <w:rFonts w:ascii="Arial" w:hAnsi="Arial" w:cs="Arial"/>
          <w:sz w:val="20"/>
          <w:szCs w:val="20"/>
        </w:rPr>
        <w:t xml:space="preserve">ostatak godine ne </w:t>
      </w:r>
      <w:r w:rsidR="001907C1" w:rsidRPr="009010BD">
        <w:rPr>
          <w:rFonts w:ascii="Arial" w:hAnsi="Arial" w:cs="Arial"/>
          <w:sz w:val="20"/>
          <w:szCs w:val="20"/>
        </w:rPr>
        <w:t>razlikuje</w:t>
      </w:r>
      <w:r w:rsidRPr="009010BD">
        <w:rPr>
          <w:rFonts w:ascii="Arial" w:hAnsi="Arial" w:cs="Arial"/>
          <w:sz w:val="20"/>
          <w:szCs w:val="20"/>
        </w:rPr>
        <w:t xml:space="preserve"> puno od višegodišnjeg prosjeka. Odnosno</w:t>
      </w:r>
      <w:r w:rsidR="001907C1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početak  2014.</w:t>
      </w:r>
      <w:r w:rsidR="001907C1" w:rsidRPr="009010BD">
        <w:rPr>
          <w:rFonts w:ascii="Arial" w:hAnsi="Arial" w:cs="Arial"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 xml:space="preserve"> je bio topliji od prosjeka</w:t>
      </w:r>
      <w:r w:rsidR="001907C1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što dokazuju i neobične pojave koje smo zapazili u tom razdoblju:</w:t>
      </w:r>
    </w:p>
    <w:p w:rsidR="00E742F6" w:rsidRPr="009010BD" w:rsidRDefault="00E742F6" w:rsidP="00E74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cvjetanje marelice i stvaranje plodova u siječnju</w:t>
      </w:r>
    </w:p>
    <w:p w:rsidR="00E742F6" w:rsidRPr="009010BD" w:rsidRDefault="00E742F6" w:rsidP="00E74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pupanje smokve u veljači</w:t>
      </w:r>
    </w:p>
    <w:p w:rsidR="00E742F6" w:rsidRPr="009010BD" w:rsidRDefault="00E742F6" w:rsidP="00E74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buđenje ličinki borovog prelca u veljači</w:t>
      </w:r>
    </w:p>
    <w:p w:rsidR="00FA6544" w:rsidRPr="009010BD" w:rsidRDefault="00FA6544" w:rsidP="008C6414">
      <w:pPr>
        <w:spacing w:line="240" w:lineRule="auto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Najviše nas je zanimala količina oborin</w:t>
      </w:r>
      <w:r w:rsidR="001907C1" w:rsidRPr="009010BD">
        <w:rPr>
          <w:rFonts w:ascii="Arial" w:hAnsi="Arial" w:cs="Arial"/>
          <w:sz w:val="20"/>
          <w:szCs w:val="20"/>
        </w:rPr>
        <w:t>e</w:t>
      </w:r>
      <w:r w:rsidR="00257749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posebice za vrijeme ljeta, jer smo bili svjedoci učestalih i ponekad obilnih kiša. </w:t>
      </w:r>
    </w:p>
    <w:p w:rsidR="00FA6544" w:rsidRPr="009010BD" w:rsidRDefault="00FA6544">
      <w:pPr>
        <w:pStyle w:val="BodyText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lastRenderedPageBreak/>
        <w:t>Mjesečna količina oborine dobije se tako, da se  zbroje sve dnevne količine pale u tom mjesecu. Taj zbroj je mjesečna količina oborine za taj mjesec. Isto se napravi za sve mjesece u godini</w:t>
      </w:r>
      <w:r w:rsidR="00EA35D0" w:rsidRPr="009010BD">
        <w:rPr>
          <w:rFonts w:ascii="Arial" w:hAnsi="Arial" w:cs="Arial"/>
          <w:sz w:val="20"/>
          <w:szCs w:val="20"/>
        </w:rPr>
        <w:t>,</w:t>
      </w:r>
      <w:r w:rsidR="00816DFF" w:rsidRPr="009010BD">
        <w:rPr>
          <w:rFonts w:ascii="Arial" w:hAnsi="Arial" w:cs="Arial"/>
          <w:sz w:val="20"/>
          <w:szCs w:val="20"/>
        </w:rPr>
        <w:t xml:space="preserve"> a njihov zbroj daje godišnju količinu</w:t>
      </w:r>
      <w:r w:rsidR="00487E9B">
        <w:rPr>
          <w:rFonts w:ascii="Arial" w:hAnsi="Arial" w:cs="Arial"/>
          <w:sz w:val="20"/>
          <w:szCs w:val="20"/>
        </w:rPr>
        <w:t>.</w:t>
      </w:r>
    </w:p>
    <w:p w:rsidR="00E54B21" w:rsidRPr="009010BD" w:rsidRDefault="00196856" w:rsidP="00FA654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Grafički</w:t>
      </w:r>
      <w:r w:rsidR="008A38AA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količina oborin</w:t>
      </w:r>
      <w:r w:rsidR="008A38AA" w:rsidRPr="009010BD">
        <w:rPr>
          <w:rFonts w:ascii="Arial" w:hAnsi="Arial" w:cs="Arial"/>
          <w:sz w:val="20"/>
          <w:szCs w:val="20"/>
        </w:rPr>
        <w:t>e</w:t>
      </w:r>
      <w:r w:rsidRPr="009010BD">
        <w:rPr>
          <w:rFonts w:ascii="Arial" w:hAnsi="Arial" w:cs="Arial"/>
          <w:sz w:val="20"/>
          <w:szCs w:val="20"/>
        </w:rPr>
        <w:t xml:space="preserve"> u 2014</w:t>
      </w:r>
      <w:r w:rsidR="00FA6544" w:rsidRPr="009010BD">
        <w:rPr>
          <w:rFonts w:ascii="Arial" w:hAnsi="Arial" w:cs="Arial"/>
          <w:sz w:val="20"/>
          <w:szCs w:val="20"/>
        </w:rPr>
        <w:t>. po mjesecima</w:t>
      </w:r>
      <w:r w:rsidR="00F56DCE" w:rsidRPr="009010BD">
        <w:rPr>
          <w:rFonts w:ascii="Arial" w:hAnsi="Arial" w:cs="Arial"/>
          <w:sz w:val="20"/>
          <w:szCs w:val="20"/>
        </w:rPr>
        <w:t>,</w:t>
      </w:r>
      <w:r w:rsidR="00FA6544" w:rsidRPr="009010BD">
        <w:rPr>
          <w:rFonts w:ascii="Arial" w:hAnsi="Arial" w:cs="Arial"/>
          <w:sz w:val="20"/>
          <w:szCs w:val="20"/>
        </w:rPr>
        <w:t xml:space="preserve"> izgleda ovako:</w:t>
      </w:r>
    </w:p>
    <w:p w:rsidR="00FA6544" w:rsidRPr="009010BD" w:rsidRDefault="001D3447" w:rsidP="006E4453">
      <w:pPr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9D91500" wp14:editId="78079150">
            <wp:extent cx="4572000" cy="26955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6544" w:rsidRPr="009010BD" w:rsidRDefault="00E742F6" w:rsidP="006E4453">
      <w:pPr>
        <w:ind w:firstLine="708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Graf</w:t>
      </w:r>
      <w:r w:rsidR="00B8548E" w:rsidRPr="009010BD">
        <w:rPr>
          <w:rFonts w:ascii="Arial" w:hAnsi="Arial" w:cs="Arial"/>
          <w:sz w:val="20"/>
          <w:szCs w:val="20"/>
        </w:rPr>
        <w:t xml:space="preserve">ikon </w:t>
      </w:r>
      <w:r w:rsidRPr="009010BD">
        <w:rPr>
          <w:rFonts w:ascii="Arial" w:hAnsi="Arial" w:cs="Arial"/>
          <w:sz w:val="20"/>
          <w:szCs w:val="20"/>
        </w:rPr>
        <w:t xml:space="preserve"> 3</w:t>
      </w:r>
      <w:r w:rsidR="00ED5669" w:rsidRPr="009010BD">
        <w:rPr>
          <w:rFonts w:ascii="Arial" w:hAnsi="Arial" w:cs="Arial"/>
          <w:sz w:val="20"/>
          <w:szCs w:val="20"/>
        </w:rPr>
        <w:t xml:space="preserve">.  </w:t>
      </w:r>
      <w:r w:rsidR="00EA35D0" w:rsidRPr="009010BD">
        <w:rPr>
          <w:rFonts w:ascii="Arial" w:hAnsi="Arial" w:cs="Arial"/>
          <w:sz w:val="20"/>
          <w:szCs w:val="20"/>
        </w:rPr>
        <w:t>Mjesečne k</w:t>
      </w:r>
      <w:r w:rsidR="00ED5669" w:rsidRPr="009010BD">
        <w:rPr>
          <w:rFonts w:ascii="Arial" w:hAnsi="Arial" w:cs="Arial"/>
          <w:sz w:val="20"/>
          <w:szCs w:val="20"/>
        </w:rPr>
        <w:t>oličin</w:t>
      </w:r>
      <w:r w:rsidR="00EA35D0" w:rsidRPr="009010BD">
        <w:rPr>
          <w:rFonts w:ascii="Arial" w:hAnsi="Arial" w:cs="Arial"/>
          <w:sz w:val="20"/>
          <w:szCs w:val="20"/>
        </w:rPr>
        <w:t>e</w:t>
      </w:r>
      <w:r w:rsidR="00ED5669" w:rsidRPr="009010BD">
        <w:rPr>
          <w:rFonts w:ascii="Arial" w:hAnsi="Arial" w:cs="Arial"/>
          <w:sz w:val="20"/>
          <w:szCs w:val="20"/>
        </w:rPr>
        <w:t xml:space="preserve"> oborin</w:t>
      </w:r>
      <w:r w:rsidR="00F56DCE" w:rsidRPr="009010BD">
        <w:rPr>
          <w:rFonts w:ascii="Arial" w:hAnsi="Arial" w:cs="Arial"/>
          <w:sz w:val="20"/>
          <w:szCs w:val="20"/>
        </w:rPr>
        <w:t>e</w:t>
      </w:r>
      <w:r w:rsidR="00ED5669" w:rsidRPr="009010BD">
        <w:rPr>
          <w:rFonts w:ascii="Arial" w:hAnsi="Arial" w:cs="Arial"/>
          <w:sz w:val="20"/>
          <w:szCs w:val="20"/>
        </w:rPr>
        <w:t xml:space="preserve"> u Preku u 2014.</w:t>
      </w:r>
    </w:p>
    <w:p w:rsidR="00502A19" w:rsidRPr="009010BD" w:rsidRDefault="00502A19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Iz </w:t>
      </w:r>
      <w:r w:rsidR="003F7694">
        <w:rPr>
          <w:rFonts w:ascii="Arial" w:hAnsi="Arial" w:cs="Arial"/>
          <w:sz w:val="20"/>
          <w:szCs w:val="20"/>
        </w:rPr>
        <w:t>G</w:t>
      </w:r>
      <w:r w:rsidRPr="009010BD">
        <w:rPr>
          <w:rFonts w:ascii="Arial" w:hAnsi="Arial" w:cs="Arial"/>
          <w:sz w:val="20"/>
          <w:szCs w:val="20"/>
        </w:rPr>
        <w:t xml:space="preserve">rafikona </w:t>
      </w:r>
      <w:r w:rsidR="00487E9B">
        <w:rPr>
          <w:rFonts w:ascii="Arial" w:hAnsi="Arial" w:cs="Arial"/>
          <w:sz w:val="20"/>
          <w:szCs w:val="20"/>
        </w:rPr>
        <w:t xml:space="preserve">3 </w:t>
      </w:r>
      <w:r w:rsidRPr="009010BD">
        <w:rPr>
          <w:rFonts w:ascii="Arial" w:hAnsi="Arial" w:cs="Arial"/>
          <w:sz w:val="20"/>
          <w:szCs w:val="20"/>
        </w:rPr>
        <w:t>se vidi da je u prošloj godini najviše oborin</w:t>
      </w:r>
      <w:r w:rsidR="00BD4F45">
        <w:rPr>
          <w:rFonts w:ascii="Arial" w:hAnsi="Arial" w:cs="Arial"/>
          <w:sz w:val="20"/>
          <w:szCs w:val="20"/>
        </w:rPr>
        <w:t>e</w:t>
      </w:r>
      <w:r w:rsidRPr="009010BD">
        <w:rPr>
          <w:rFonts w:ascii="Arial" w:hAnsi="Arial" w:cs="Arial"/>
          <w:sz w:val="20"/>
          <w:szCs w:val="20"/>
        </w:rPr>
        <w:t xml:space="preserve"> bilo</w:t>
      </w:r>
      <w:r w:rsidR="008814F7" w:rsidRPr="009010BD">
        <w:rPr>
          <w:rFonts w:ascii="Arial" w:hAnsi="Arial" w:cs="Arial"/>
          <w:sz w:val="20"/>
          <w:szCs w:val="20"/>
        </w:rPr>
        <w:t xml:space="preserve"> u mjesecu srpnju i rujnu, a najmanje u listopadu, što nije uobičajeno za naše podneblje, posebice za mjesec srpanj.</w:t>
      </w:r>
    </w:p>
    <w:p w:rsidR="00ED5669" w:rsidRPr="009010BD" w:rsidRDefault="00ED5669" w:rsidP="00064F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Dalje</w:t>
      </w:r>
      <w:r w:rsidR="00F56DCE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smo istražili kakva je bila</w:t>
      </w:r>
      <w:r w:rsidR="004D0EE2" w:rsidRPr="009010BD">
        <w:rPr>
          <w:rFonts w:ascii="Arial" w:hAnsi="Arial" w:cs="Arial"/>
          <w:sz w:val="20"/>
          <w:szCs w:val="20"/>
        </w:rPr>
        <w:t xml:space="preserve"> godišnja </w:t>
      </w:r>
      <w:r w:rsidRPr="009010BD">
        <w:rPr>
          <w:rFonts w:ascii="Arial" w:hAnsi="Arial" w:cs="Arial"/>
          <w:sz w:val="20"/>
          <w:szCs w:val="20"/>
        </w:rPr>
        <w:t xml:space="preserve"> količina oborin</w:t>
      </w:r>
      <w:r w:rsidR="00F56DCE" w:rsidRPr="009010BD">
        <w:rPr>
          <w:rFonts w:ascii="Arial" w:hAnsi="Arial" w:cs="Arial"/>
          <w:sz w:val="20"/>
          <w:szCs w:val="20"/>
        </w:rPr>
        <w:t>e</w:t>
      </w:r>
      <w:r w:rsidRPr="009010BD">
        <w:rPr>
          <w:rFonts w:ascii="Arial" w:hAnsi="Arial" w:cs="Arial"/>
          <w:sz w:val="20"/>
          <w:szCs w:val="20"/>
        </w:rPr>
        <w:t xml:space="preserve"> u </w:t>
      </w:r>
      <w:r w:rsidR="00B018B1" w:rsidRPr="009010BD">
        <w:rPr>
          <w:rFonts w:ascii="Arial" w:hAnsi="Arial" w:cs="Arial"/>
          <w:sz w:val="20"/>
          <w:szCs w:val="20"/>
        </w:rPr>
        <w:t>2014.</w:t>
      </w:r>
      <w:r w:rsidR="00F56DCE" w:rsidRPr="009010BD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u usporedbi s višegodišnjim prosjekom</w:t>
      </w:r>
      <w:r w:rsidR="00F56DCE" w:rsidRPr="009010BD">
        <w:rPr>
          <w:rFonts w:ascii="Arial" w:hAnsi="Arial" w:cs="Arial"/>
          <w:sz w:val="20"/>
          <w:szCs w:val="20"/>
        </w:rPr>
        <w:t xml:space="preserve"> u Zadru.</w:t>
      </w:r>
    </w:p>
    <w:p w:rsidR="00ED5669" w:rsidRPr="009010BD" w:rsidRDefault="00B84293" w:rsidP="008A419C">
      <w:pPr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25051196" wp14:editId="4E8072CB">
            <wp:extent cx="4762500" cy="27717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669" w:rsidRPr="009010BD" w:rsidRDefault="00ED5669" w:rsidP="00FA6544">
      <w:pPr>
        <w:rPr>
          <w:rFonts w:ascii="Arial" w:hAnsi="Arial" w:cs="Arial"/>
          <w:sz w:val="20"/>
          <w:szCs w:val="20"/>
        </w:rPr>
      </w:pPr>
    </w:p>
    <w:p w:rsidR="00ED5669" w:rsidRPr="009010BD" w:rsidRDefault="00E742F6" w:rsidP="00234D33">
      <w:pPr>
        <w:ind w:left="708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Graf</w:t>
      </w:r>
      <w:r w:rsidR="00B8548E" w:rsidRPr="009010BD">
        <w:rPr>
          <w:rFonts w:ascii="Arial" w:hAnsi="Arial" w:cs="Arial"/>
          <w:sz w:val="20"/>
          <w:szCs w:val="20"/>
        </w:rPr>
        <w:t xml:space="preserve">ikon </w:t>
      </w:r>
      <w:r w:rsidRPr="009010BD">
        <w:rPr>
          <w:rFonts w:ascii="Arial" w:hAnsi="Arial" w:cs="Arial"/>
          <w:sz w:val="20"/>
          <w:szCs w:val="20"/>
        </w:rPr>
        <w:t xml:space="preserve"> 4</w:t>
      </w:r>
      <w:r w:rsidR="00ED5669" w:rsidRPr="009010BD">
        <w:rPr>
          <w:rFonts w:ascii="Arial" w:hAnsi="Arial" w:cs="Arial"/>
          <w:sz w:val="20"/>
          <w:szCs w:val="20"/>
        </w:rPr>
        <w:t xml:space="preserve">. Usporedba </w:t>
      </w:r>
      <w:r w:rsidR="00F56DCE" w:rsidRPr="009010BD">
        <w:rPr>
          <w:rFonts w:ascii="Arial" w:hAnsi="Arial" w:cs="Arial"/>
          <w:sz w:val="20"/>
          <w:szCs w:val="20"/>
        </w:rPr>
        <w:t xml:space="preserve">godišnje </w:t>
      </w:r>
      <w:r w:rsidR="00ED5669" w:rsidRPr="009010BD">
        <w:rPr>
          <w:rFonts w:ascii="Arial" w:hAnsi="Arial" w:cs="Arial"/>
          <w:sz w:val="20"/>
          <w:szCs w:val="20"/>
        </w:rPr>
        <w:t>količin</w:t>
      </w:r>
      <w:r w:rsidR="00F56DCE" w:rsidRPr="009010BD">
        <w:rPr>
          <w:rFonts w:ascii="Arial" w:hAnsi="Arial" w:cs="Arial"/>
          <w:sz w:val="20"/>
          <w:szCs w:val="20"/>
        </w:rPr>
        <w:t>e</w:t>
      </w:r>
      <w:r w:rsidR="00ED5669" w:rsidRPr="009010BD">
        <w:rPr>
          <w:rFonts w:ascii="Arial" w:hAnsi="Arial" w:cs="Arial"/>
          <w:sz w:val="20"/>
          <w:szCs w:val="20"/>
        </w:rPr>
        <w:t xml:space="preserve"> oborin</w:t>
      </w:r>
      <w:r w:rsidR="00F56DCE" w:rsidRPr="009010BD">
        <w:rPr>
          <w:rFonts w:ascii="Arial" w:hAnsi="Arial" w:cs="Arial"/>
          <w:sz w:val="20"/>
          <w:szCs w:val="20"/>
        </w:rPr>
        <w:t>e</w:t>
      </w:r>
      <w:r w:rsidR="00ED5669" w:rsidRPr="009010BD">
        <w:rPr>
          <w:rFonts w:ascii="Arial" w:hAnsi="Arial" w:cs="Arial"/>
          <w:sz w:val="20"/>
          <w:szCs w:val="20"/>
        </w:rPr>
        <w:t xml:space="preserve"> u Preku u 2014. </w:t>
      </w:r>
      <w:r w:rsidR="00F56DCE" w:rsidRPr="009010BD">
        <w:rPr>
          <w:rFonts w:ascii="Arial" w:hAnsi="Arial" w:cs="Arial"/>
          <w:sz w:val="20"/>
          <w:szCs w:val="20"/>
        </w:rPr>
        <w:t xml:space="preserve">s </w:t>
      </w:r>
      <w:r w:rsidR="00ED5669" w:rsidRPr="009010BD">
        <w:rPr>
          <w:rFonts w:ascii="Arial" w:hAnsi="Arial" w:cs="Arial"/>
          <w:sz w:val="20"/>
          <w:szCs w:val="20"/>
        </w:rPr>
        <w:t xml:space="preserve"> višegodišnjim prosjekom</w:t>
      </w:r>
      <w:r w:rsidRPr="009010BD">
        <w:rPr>
          <w:rFonts w:ascii="Arial" w:hAnsi="Arial" w:cs="Arial"/>
          <w:sz w:val="20"/>
          <w:szCs w:val="20"/>
        </w:rPr>
        <w:t xml:space="preserve"> </w:t>
      </w:r>
      <w:r w:rsidR="00F56DCE" w:rsidRPr="009010BD">
        <w:rPr>
          <w:rFonts w:ascii="Arial" w:hAnsi="Arial" w:cs="Arial"/>
          <w:sz w:val="20"/>
          <w:szCs w:val="20"/>
        </w:rPr>
        <w:t>(</w:t>
      </w:r>
      <w:r w:rsidRPr="009010BD">
        <w:rPr>
          <w:rFonts w:ascii="Arial" w:hAnsi="Arial" w:cs="Arial"/>
          <w:sz w:val="20"/>
          <w:szCs w:val="20"/>
        </w:rPr>
        <w:t>1961</w:t>
      </w:r>
      <w:r w:rsidR="00605253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-1990</w:t>
      </w:r>
      <w:r w:rsidR="00605253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)</w:t>
      </w:r>
      <w:r w:rsidR="00F56DCE" w:rsidRPr="009010BD">
        <w:rPr>
          <w:rFonts w:ascii="Arial" w:hAnsi="Arial" w:cs="Arial"/>
          <w:sz w:val="20"/>
          <w:szCs w:val="20"/>
        </w:rPr>
        <w:t xml:space="preserve"> u Zadru</w:t>
      </w:r>
    </w:p>
    <w:p w:rsidR="007B62B4" w:rsidRPr="009010BD" w:rsidRDefault="007B62B4" w:rsidP="00234D33">
      <w:pPr>
        <w:jc w:val="center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 wp14:anchorId="46686B41" wp14:editId="2EE77AA6">
            <wp:extent cx="4743450" cy="25527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62B4" w:rsidRPr="009010BD" w:rsidRDefault="00E742F6" w:rsidP="00234D33">
      <w:pPr>
        <w:ind w:left="708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Graf</w:t>
      </w:r>
      <w:r w:rsidR="00B8548E" w:rsidRPr="009010BD">
        <w:rPr>
          <w:rFonts w:ascii="Arial" w:hAnsi="Arial" w:cs="Arial"/>
          <w:sz w:val="20"/>
          <w:szCs w:val="20"/>
        </w:rPr>
        <w:t xml:space="preserve">ikon </w:t>
      </w:r>
      <w:r w:rsidRPr="009010BD">
        <w:rPr>
          <w:rFonts w:ascii="Arial" w:hAnsi="Arial" w:cs="Arial"/>
          <w:sz w:val="20"/>
          <w:szCs w:val="20"/>
        </w:rPr>
        <w:t xml:space="preserve"> 5</w:t>
      </w:r>
      <w:r w:rsidR="007B62B4" w:rsidRPr="009010BD">
        <w:rPr>
          <w:rFonts w:ascii="Arial" w:hAnsi="Arial" w:cs="Arial"/>
          <w:sz w:val="20"/>
          <w:szCs w:val="20"/>
        </w:rPr>
        <w:t xml:space="preserve">. </w:t>
      </w:r>
      <w:r w:rsidR="00257749" w:rsidRPr="009010BD">
        <w:rPr>
          <w:rFonts w:ascii="Arial" w:hAnsi="Arial" w:cs="Arial"/>
          <w:sz w:val="20"/>
          <w:szCs w:val="20"/>
        </w:rPr>
        <w:t>U</w:t>
      </w:r>
      <w:r w:rsidR="007B62B4" w:rsidRPr="009010BD">
        <w:rPr>
          <w:rFonts w:ascii="Arial" w:hAnsi="Arial" w:cs="Arial"/>
          <w:sz w:val="20"/>
          <w:szCs w:val="20"/>
        </w:rPr>
        <w:t>sporedba količine oborin</w:t>
      </w:r>
      <w:r w:rsidR="00257749" w:rsidRPr="009010BD">
        <w:rPr>
          <w:rFonts w:ascii="Arial" w:hAnsi="Arial" w:cs="Arial"/>
          <w:sz w:val="20"/>
          <w:szCs w:val="20"/>
        </w:rPr>
        <w:t>e</w:t>
      </w:r>
      <w:r w:rsidR="007B62B4" w:rsidRPr="009010BD">
        <w:rPr>
          <w:rFonts w:ascii="Arial" w:hAnsi="Arial" w:cs="Arial"/>
          <w:sz w:val="20"/>
          <w:szCs w:val="20"/>
        </w:rPr>
        <w:t xml:space="preserve"> po mjesecima </w:t>
      </w:r>
      <w:r w:rsidR="00257749" w:rsidRPr="009010BD">
        <w:rPr>
          <w:rFonts w:ascii="Arial" w:hAnsi="Arial" w:cs="Arial"/>
          <w:sz w:val="20"/>
          <w:szCs w:val="20"/>
        </w:rPr>
        <w:t>s</w:t>
      </w:r>
      <w:r w:rsidR="007B62B4" w:rsidRPr="009010BD">
        <w:rPr>
          <w:rFonts w:ascii="Arial" w:hAnsi="Arial" w:cs="Arial"/>
          <w:sz w:val="20"/>
          <w:szCs w:val="20"/>
        </w:rPr>
        <w:t xml:space="preserve"> višegodišnji</w:t>
      </w:r>
      <w:r w:rsidR="00257749" w:rsidRPr="009010BD">
        <w:rPr>
          <w:rFonts w:ascii="Arial" w:hAnsi="Arial" w:cs="Arial"/>
          <w:sz w:val="20"/>
          <w:szCs w:val="20"/>
        </w:rPr>
        <w:t>im</w:t>
      </w:r>
      <w:r w:rsidR="007B62B4" w:rsidRPr="009010BD">
        <w:rPr>
          <w:rFonts w:ascii="Arial" w:hAnsi="Arial" w:cs="Arial"/>
          <w:sz w:val="20"/>
          <w:szCs w:val="20"/>
        </w:rPr>
        <w:t xml:space="preserve"> prosjek</w:t>
      </w:r>
      <w:r w:rsidR="00257749" w:rsidRPr="009010BD">
        <w:rPr>
          <w:rFonts w:ascii="Arial" w:hAnsi="Arial" w:cs="Arial"/>
          <w:sz w:val="20"/>
          <w:szCs w:val="20"/>
        </w:rPr>
        <w:t>om</w:t>
      </w:r>
      <w:r w:rsidRPr="009010BD">
        <w:rPr>
          <w:rFonts w:ascii="Arial" w:hAnsi="Arial" w:cs="Arial"/>
          <w:sz w:val="20"/>
          <w:szCs w:val="20"/>
        </w:rPr>
        <w:t xml:space="preserve"> ( 1961</w:t>
      </w:r>
      <w:r w:rsidR="00234D33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-1990</w:t>
      </w:r>
      <w:r w:rsidR="00234D33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)</w:t>
      </w:r>
      <w:r w:rsidR="00257749" w:rsidRPr="009010BD">
        <w:rPr>
          <w:rFonts w:ascii="Arial" w:hAnsi="Arial" w:cs="Arial"/>
          <w:sz w:val="20"/>
          <w:szCs w:val="20"/>
        </w:rPr>
        <w:t xml:space="preserve"> za Zadar</w:t>
      </w:r>
    </w:p>
    <w:p w:rsidR="008C6414" w:rsidRDefault="008C641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Iz </w:t>
      </w:r>
      <w:r w:rsidR="003F7694">
        <w:rPr>
          <w:rFonts w:ascii="Arial" w:hAnsi="Arial" w:cs="Arial"/>
          <w:sz w:val="20"/>
          <w:szCs w:val="20"/>
        </w:rPr>
        <w:t>G</w:t>
      </w:r>
      <w:r w:rsidRPr="009010BD">
        <w:rPr>
          <w:rFonts w:ascii="Arial" w:hAnsi="Arial" w:cs="Arial"/>
          <w:sz w:val="20"/>
          <w:szCs w:val="20"/>
        </w:rPr>
        <w:t>raf</w:t>
      </w:r>
      <w:r w:rsidR="00536097" w:rsidRPr="009010BD">
        <w:rPr>
          <w:rFonts w:ascii="Arial" w:hAnsi="Arial" w:cs="Arial"/>
          <w:sz w:val="20"/>
          <w:szCs w:val="20"/>
        </w:rPr>
        <w:t>ikona</w:t>
      </w:r>
      <w:r w:rsidR="008814F7" w:rsidRPr="009010BD">
        <w:rPr>
          <w:rFonts w:ascii="Arial" w:hAnsi="Arial" w:cs="Arial"/>
          <w:sz w:val="20"/>
          <w:szCs w:val="20"/>
        </w:rPr>
        <w:t xml:space="preserve"> </w:t>
      </w:r>
      <w:r w:rsidR="00487E9B">
        <w:rPr>
          <w:rFonts w:ascii="Arial" w:hAnsi="Arial" w:cs="Arial"/>
          <w:sz w:val="20"/>
          <w:szCs w:val="20"/>
        </w:rPr>
        <w:t xml:space="preserve">5 </w:t>
      </w:r>
      <w:r w:rsidRPr="009010BD">
        <w:rPr>
          <w:rFonts w:ascii="Arial" w:hAnsi="Arial" w:cs="Arial"/>
          <w:sz w:val="20"/>
          <w:szCs w:val="20"/>
        </w:rPr>
        <w:t>se vidi da postoje velike r</w:t>
      </w:r>
      <w:r w:rsidR="00ED5669" w:rsidRPr="009010BD">
        <w:rPr>
          <w:rFonts w:ascii="Arial" w:hAnsi="Arial" w:cs="Arial"/>
          <w:sz w:val="20"/>
          <w:szCs w:val="20"/>
        </w:rPr>
        <w:t>azlike u količini oborin</w:t>
      </w:r>
      <w:r w:rsidR="00536097" w:rsidRPr="009010BD">
        <w:rPr>
          <w:rFonts w:ascii="Arial" w:hAnsi="Arial" w:cs="Arial"/>
          <w:sz w:val="20"/>
          <w:szCs w:val="20"/>
        </w:rPr>
        <w:t>e</w:t>
      </w:r>
      <w:r w:rsidR="00ED5669" w:rsidRPr="009010BD">
        <w:rPr>
          <w:rFonts w:ascii="Arial" w:hAnsi="Arial" w:cs="Arial"/>
          <w:sz w:val="20"/>
          <w:szCs w:val="20"/>
        </w:rPr>
        <w:t xml:space="preserve"> u 2014</w:t>
      </w:r>
      <w:r w:rsidRPr="009010BD">
        <w:rPr>
          <w:rFonts w:ascii="Arial" w:hAnsi="Arial" w:cs="Arial"/>
          <w:sz w:val="20"/>
          <w:szCs w:val="20"/>
        </w:rPr>
        <w:t>.</w:t>
      </w:r>
      <w:r w:rsidR="00A201BD">
        <w:rPr>
          <w:rFonts w:ascii="Arial" w:hAnsi="Arial" w:cs="Arial"/>
          <w:sz w:val="20"/>
          <w:szCs w:val="20"/>
        </w:rPr>
        <w:t xml:space="preserve"> u Preku </w:t>
      </w:r>
      <w:r w:rsidRPr="009010BD">
        <w:rPr>
          <w:rFonts w:ascii="Arial" w:hAnsi="Arial" w:cs="Arial"/>
          <w:sz w:val="20"/>
          <w:szCs w:val="20"/>
        </w:rPr>
        <w:t xml:space="preserve"> u usporedbi s</w:t>
      </w:r>
      <w:r w:rsidR="00461476" w:rsidRPr="009010BD">
        <w:rPr>
          <w:rFonts w:ascii="Arial" w:hAnsi="Arial" w:cs="Arial"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>višegodišnjim prosjekom</w:t>
      </w:r>
      <w:r w:rsidR="00536097" w:rsidRPr="009010BD">
        <w:rPr>
          <w:rFonts w:ascii="Arial" w:hAnsi="Arial" w:cs="Arial"/>
          <w:sz w:val="20"/>
          <w:szCs w:val="20"/>
        </w:rPr>
        <w:t xml:space="preserve"> za Zadar</w:t>
      </w:r>
      <w:r w:rsidRPr="009010BD">
        <w:rPr>
          <w:rFonts w:ascii="Arial" w:hAnsi="Arial" w:cs="Arial"/>
          <w:sz w:val="20"/>
          <w:szCs w:val="20"/>
        </w:rPr>
        <w:t xml:space="preserve">. Posebno je velika razlika u </w:t>
      </w:r>
      <w:r w:rsidR="00461476" w:rsidRPr="009010BD">
        <w:rPr>
          <w:rFonts w:ascii="Arial" w:hAnsi="Arial" w:cs="Arial"/>
          <w:sz w:val="20"/>
          <w:szCs w:val="20"/>
        </w:rPr>
        <w:t>7</w:t>
      </w:r>
      <w:r w:rsidRPr="009010BD">
        <w:rPr>
          <w:rFonts w:ascii="Arial" w:hAnsi="Arial" w:cs="Arial"/>
          <w:sz w:val="20"/>
          <w:szCs w:val="20"/>
        </w:rPr>
        <w:t>. i 9.mjesecu</w:t>
      </w:r>
      <w:r w:rsidR="00461476" w:rsidRPr="009010BD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 xml:space="preserve"> Jedino se količina oborin</w:t>
      </w:r>
      <w:r w:rsidR="00487E9B">
        <w:rPr>
          <w:rFonts w:ascii="Arial" w:hAnsi="Arial" w:cs="Arial"/>
          <w:sz w:val="20"/>
          <w:szCs w:val="20"/>
        </w:rPr>
        <w:t>e</w:t>
      </w:r>
      <w:r w:rsidRPr="009010BD">
        <w:rPr>
          <w:rFonts w:ascii="Arial" w:hAnsi="Arial" w:cs="Arial"/>
          <w:sz w:val="20"/>
          <w:szCs w:val="20"/>
        </w:rPr>
        <w:t xml:space="preserve"> približava višegodišn</w:t>
      </w:r>
      <w:r w:rsidR="00E742F6" w:rsidRPr="009010BD">
        <w:rPr>
          <w:rFonts w:ascii="Arial" w:hAnsi="Arial" w:cs="Arial"/>
          <w:sz w:val="20"/>
          <w:szCs w:val="20"/>
        </w:rPr>
        <w:t xml:space="preserve">jem prosjeku u </w:t>
      </w:r>
      <w:r w:rsidR="0052485F" w:rsidRPr="009010BD">
        <w:rPr>
          <w:rFonts w:ascii="Arial" w:hAnsi="Arial" w:cs="Arial"/>
          <w:sz w:val="20"/>
          <w:szCs w:val="20"/>
        </w:rPr>
        <w:t>siječnju,</w:t>
      </w:r>
      <w:r w:rsidR="00A31390">
        <w:rPr>
          <w:rFonts w:ascii="Arial" w:hAnsi="Arial" w:cs="Arial"/>
          <w:sz w:val="20"/>
          <w:szCs w:val="20"/>
        </w:rPr>
        <w:t xml:space="preserve"> </w:t>
      </w:r>
      <w:r w:rsidR="0052485F" w:rsidRPr="009010BD">
        <w:rPr>
          <w:rFonts w:ascii="Arial" w:hAnsi="Arial" w:cs="Arial"/>
          <w:sz w:val="20"/>
          <w:szCs w:val="20"/>
        </w:rPr>
        <w:t>ožujku,</w:t>
      </w:r>
      <w:r w:rsidR="00A31390">
        <w:rPr>
          <w:rFonts w:ascii="Arial" w:hAnsi="Arial" w:cs="Arial"/>
          <w:sz w:val="20"/>
          <w:szCs w:val="20"/>
        </w:rPr>
        <w:t xml:space="preserve"> </w:t>
      </w:r>
      <w:r w:rsidR="00B91826">
        <w:rPr>
          <w:rFonts w:ascii="Arial" w:hAnsi="Arial" w:cs="Arial"/>
          <w:sz w:val="20"/>
          <w:szCs w:val="20"/>
        </w:rPr>
        <w:t xml:space="preserve">svibnju i </w:t>
      </w:r>
      <w:r w:rsidR="0052485F" w:rsidRPr="009010BD">
        <w:rPr>
          <w:rFonts w:ascii="Arial" w:hAnsi="Arial" w:cs="Arial"/>
          <w:sz w:val="20"/>
          <w:szCs w:val="20"/>
        </w:rPr>
        <w:t>lipnju.</w:t>
      </w:r>
      <w:r w:rsidR="00F72860" w:rsidRPr="009010BD">
        <w:rPr>
          <w:rFonts w:ascii="Arial" w:hAnsi="Arial" w:cs="Arial"/>
          <w:sz w:val="20"/>
          <w:szCs w:val="20"/>
        </w:rPr>
        <w:t xml:space="preserve"> U mjesecu srpnju palo je 10 puta više kiše nego što je uobičajeno</w:t>
      </w:r>
      <w:r w:rsidR="007E5474" w:rsidRPr="009010BD">
        <w:rPr>
          <w:rFonts w:ascii="Arial" w:hAnsi="Arial" w:cs="Arial"/>
          <w:sz w:val="20"/>
          <w:szCs w:val="20"/>
        </w:rPr>
        <w:t>.</w:t>
      </w:r>
    </w:p>
    <w:p w:rsidR="00C145D7" w:rsidRDefault="003D55E5" w:rsidP="008C64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1. </w:t>
      </w:r>
      <w:r w:rsidR="00C145D7">
        <w:rPr>
          <w:rFonts w:ascii="Arial" w:hAnsi="Arial" w:cs="Arial"/>
          <w:sz w:val="20"/>
          <w:szCs w:val="20"/>
        </w:rPr>
        <w:t xml:space="preserve">Mjesčne i godišnje količine oborine </w:t>
      </w:r>
      <w:r>
        <w:rPr>
          <w:rFonts w:ascii="Arial" w:hAnsi="Arial" w:cs="Arial"/>
          <w:sz w:val="20"/>
          <w:szCs w:val="20"/>
        </w:rPr>
        <w:t>za Preko i Zadar</w:t>
      </w:r>
    </w:p>
    <w:tbl>
      <w:tblPr>
        <w:tblW w:w="0" w:type="auto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450"/>
        <w:gridCol w:w="561"/>
        <w:gridCol w:w="450"/>
        <w:gridCol w:w="450"/>
        <w:gridCol w:w="450"/>
        <w:gridCol w:w="450"/>
        <w:gridCol w:w="561"/>
        <w:gridCol w:w="450"/>
        <w:gridCol w:w="561"/>
        <w:gridCol w:w="450"/>
        <w:gridCol w:w="561"/>
        <w:gridCol w:w="561"/>
        <w:gridCol w:w="728"/>
      </w:tblGrid>
      <w:tr w:rsidR="00162891" w:rsidRPr="009010BD" w:rsidTr="00C55036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83,0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182,2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46,8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69,8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40,2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49,8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341,3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61,1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239,7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13,7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108,4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128,5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  <w:hideMark/>
          </w:tcPr>
          <w:p w:rsidR="00C145D7" w:rsidRPr="009010BD" w:rsidRDefault="00C145D7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 w:rsidRPr="009010BD"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1.364,5</w:t>
            </w:r>
          </w:p>
        </w:tc>
      </w:tr>
      <w:tr w:rsidR="00162891" w:rsidRPr="009010BD" w:rsidTr="00C55036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Preko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67,5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134,5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75" w:type="dxa"/>
              <w:left w:w="45" w:type="dxa"/>
              <w:bottom w:w="60" w:type="dxa"/>
              <w:right w:w="15" w:type="dxa"/>
            </w:tcMar>
            <w:vAlign w:val="center"/>
          </w:tcPr>
          <w:p w:rsidR="00187E75" w:rsidRPr="009010BD" w:rsidRDefault="00187E75" w:rsidP="00370531">
            <w:pPr>
              <w:spacing w:after="0" w:line="281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hr-HR"/>
              </w:rPr>
              <w:t>1409</w:t>
            </w:r>
          </w:p>
        </w:tc>
      </w:tr>
    </w:tbl>
    <w:p w:rsidR="00162891" w:rsidRDefault="00162891" w:rsidP="00064F9E">
      <w:pPr>
        <w:jc w:val="both"/>
        <w:rPr>
          <w:rFonts w:ascii="Arial" w:hAnsi="Arial" w:cs="Arial"/>
          <w:sz w:val="20"/>
          <w:szCs w:val="20"/>
        </w:rPr>
      </w:pPr>
    </w:p>
    <w:p w:rsidR="00502A19" w:rsidRDefault="008C641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Kada smo zbrojili </w:t>
      </w:r>
      <w:r w:rsidR="003320D2">
        <w:rPr>
          <w:rFonts w:ascii="Arial" w:hAnsi="Arial" w:cs="Arial"/>
          <w:sz w:val="20"/>
          <w:szCs w:val="20"/>
        </w:rPr>
        <w:t xml:space="preserve">našu </w:t>
      </w:r>
      <w:r w:rsidRPr="009010BD">
        <w:rPr>
          <w:rFonts w:ascii="Arial" w:hAnsi="Arial" w:cs="Arial"/>
          <w:sz w:val="20"/>
          <w:szCs w:val="20"/>
        </w:rPr>
        <w:t>ukupnu koli</w:t>
      </w:r>
      <w:r w:rsidR="00E54B21" w:rsidRPr="009010BD">
        <w:rPr>
          <w:rFonts w:ascii="Arial" w:hAnsi="Arial" w:cs="Arial"/>
          <w:sz w:val="20"/>
          <w:szCs w:val="20"/>
        </w:rPr>
        <w:t>činu oborin</w:t>
      </w:r>
      <w:r w:rsidR="00536097" w:rsidRPr="009010BD">
        <w:rPr>
          <w:rFonts w:ascii="Arial" w:hAnsi="Arial" w:cs="Arial"/>
          <w:sz w:val="20"/>
          <w:szCs w:val="20"/>
        </w:rPr>
        <w:t>e</w:t>
      </w:r>
      <w:r w:rsidR="00E54B21" w:rsidRPr="009010BD">
        <w:rPr>
          <w:rFonts w:ascii="Arial" w:hAnsi="Arial" w:cs="Arial"/>
          <w:sz w:val="20"/>
          <w:szCs w:val="20"/>
        </w:rPr>
        <w:t xml:space="preserve"> u 2014</w:t>
      </w:r>
      <w:r w:rsidR="0052485F" w:rsidRPr="009010BD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 xml:space="preserve"> ona je iznosila</w:t>
      </w:r>
      <w:r w:rsidR="00064F9E" w:rsidRPr="00901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 xml:space="preserve"> </w:t>
      </w:r>
      <w:r w:rsidR="007B62B4" w:rsidRPr="00162891">
        <w:rPr>
          <w:rFonts w:ascii="Arial" w:hAnsi="Arial" w:cs="Arial"/>
          <w:bCs/>
          <w:sz w:val="20"/>
          <w:szCs w:val="20"/>
        </w:rPr>
        <w:t>1</w:t>
      </w:r>
      <w:r w:rsidR="00064F9E" w:rsidRPr="00162891">
        <w:rPr>
          <w:rFonts w:ascii="Arial" w:hAnsi="Arial" w:cs="Arial"/>
          <w:bCs/>
          <w:sz w:val="20"/>
          <w:szCs w:val="20"/>
        </w:rPr>
        <w:t>409</w:t>
      </w:r>
      <w:r w:rsidR="00B91826">
        <w:rPr>
          <w:rFonts w:ascii="Arial" w:hAnsi="Arial" w:cs="Arial"/>
          <w:bCs/>
          <w:sz w:val="20"/>
          <w:szCs w:val="20"/>
        </w:rPr>
        <w:t xml:space="preserve"> </w:t>
      </w:r>
      <w:r w:rsidRPr="00162891">
        <w:rPr>
          <w:rFonts w:ascii="Arial" w:hAnsi="Arial" w:cs="Arial"/>
          <w:bCs/>
          <w:sz w:val="20"/>
          <w:szCs w:val="20"/>
        </w:rPr>
        <w:t>mm</w:t>
      </w:r>
      <w:r w:rsidR="003F7694" w:rsidRPr="00162891">
        <w:rPr>
          <w:rFonts w:ascii="Arial" w:hAnsi="Arial" w:cs="Arial"/>
          <w:bCs/>
          <w:sz w:val="20"/>
          <w:szCs w:val="20"/>
        </w:rPr>
        <w:t xml:space="preserve"> (Tablica 1)</w:t>
      </w:r>
      <w:r w:rsidRPr="00162891">
        <w:rPr>
          <w:rFonts w:ascii="Arial" w:hAnsi="Arial" w:cs="Arial"/>
          <w:sz w:val="20"/>
          <w:szCs w:val="20"/>
        </w:rPr>
        <w:t>,</w:t>
      </w:r>
      <w:r w:rsidRPr="009010BD">
        <w:rPr>
          <w:rFonts w:ascii="Arial" w:hAnsi="Arial" w:cs="Arial"/>
          <w:sz w:val="20"/>
          <w:szCs w:val="20"/>
        </w:rPr>
        <w:t xml:space="preserve"> a </w:t>
      </w:r>
      <w:r w:rsidR="003F7694">
        <w:rPr>
          <w:rFonts w:ascii="Arial" w:hAnsi="Arial" w:cs="Arial"/>
          <w:sz w:val="20"/>
          <w:szCs w:val="20"/>
        </w:rPr>
        <w:t xml:space="preserve">za Zadar 1365 mm, dok je </w:t>
      </w:r>
      <w:r w:rsidRPr="009010BD">
        <w:rPr>
          <w:rFonts w:ascii="Arial" w:hAnsi="Arial" w:cs="Arial"/>
          <w:sz w:val="20"/>
          <w:szCs w:val="20"/>
        </w:rPr>
        <w:t xml:space="preserve">višegodišnji prosjek </w:t>
      </w:r>
      <w:r w:rsidR="00536097" w:rsidRPr="009010BD">
        <w:rPr>
          <w:rFonts w:ascii="Arial" w:hAnsi="Arial" w:cs="Arial"/>
          <w:sz w:val="20"/>
          <w:szCs w:val="20"/>
        </w:rPr>
        <w:t xml:space="preserve">za Zadar </w:t>
      </w:r>
      <w:r w:rsidRPr="00162891">
        <w:rPr>
          <w:rFonts w:ascii="Arial" w:hAnsi="Arial" w:cs="Arial"/>
          <w:sz w:val="20"/>
          <w:szCs w:val="20"/>
        </w:rPr>
        <w:t xml:space="preserve">je </w:t>
      </w:r>
      <w:r w:rsidRPr="00162891">
        <w:rPr>
          <w:rFonts w:ascii="Arial" w:hAnsi="Arial" w:cs="Arial"/>
          <w:bCs/>
          <w:sz w:val="20"/>
          <w:szCs w:val="20"/>
        </w:rPr>
        <w:t>879 mm</w:t>
      </w:r>
      <w:r w:rsidRPr="00162891"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 xml:space="preserve"> Samim tim možemo reći da je</w:t>
      </w:r>
      <w:r w:rsidR="00E742F6" w:rsidRPr="009010BD">
        <w:rPr>
          <w:rFonts w:ascii="Arial" w:hAnsi="Arial" w:cs="Arial"/>
          <w:sz w:val="20"/>
          <w:szCs w:val="20"/>
        </w:rPr>
        <w:t xml:space="preserve"> </w:t>
      </w:r>
      <w:r w:rsidR="00E54B21" w:rsidRPr="009010BD">
        <w:rPr>
          <w:rFonts w:ascii="Arial" w:hAnsi="Arial" w:cs="Arial"/>
          <w:sz w:val="20"/>
          <w:szCs w:val="20"/>
        </w:rPr>
        <w:t>skoro upola više</w:t>
      </w:r>
      <w:r w:rsidRPr="009010BD">
        <w:rPr>
          <w:rFonts w:ascii="Arial" w:hAnsi="Arial" w:cs="Arial"/>
          <w:sz w:val="20"/>
          <w:szCs w:val="20"/>
        </w:rPr>
        <w:t xml:space="preserve"> k</w:t>
      </w:r>
      <w:r w:rsidR="00E54B21" w:rsidRPr="009010BD">
        <w:rPr>
          <w:rFonts w:ascii="Arial" w:hAnsi="Arial" w:cs="Arial"/>
          <w:sz w:val="20"/>
          <w:szCs w:val="20"/>
        </w:rPr>
        <w:t>iše palo nego što je uobičajeno, a maksimum je bio u srpnju ( 349</w:t>
      </w:r>
      <w:r w:rsidR="00116A40">
        <w:rPr>
          <w:rFonts w:ascii="Arial" w:hAnsi="Arial" w:cs="Arial"/>
          <w:sz w:val="20"/>
          <w:szCs w:val="20"/>
        </w:rPr>
        <w:t xml:space="preserve"> </w:t>
      </w:r>
      <w:r w:rsidR="00E54B21" w:rsidRPr="009010BD">
        <w:rPr>
          <w:rFonts w:ascii="Arial" w:hAnsi="Arial" w:cs="Arial"/>
          <w:sz w:val="20"/>
          <w:szCs w:val="20"/>
        </w:rPr>
        <w:t>mm).</w:t>
      </w:r>
    </w:p>
    <w:p w:rsidR="006F48AB" w:rsidRPr="009010BD" w:rsidRDefault="006F48AB" w:rsidP="006F48AB">
      <w:pPr>
        <w:ind w:left="1416"/>
        <w:rPr>
          <w:rFonts w:ascii="Arial" w:hAnsi="Arial" w:cs="Arial"/>
          <w:sz w:val="20"/>
          <w:szCs w:val="20"/>
        </w:rPr>
      </w:pPr>
      <w:r w:rsidRPr="00A201BD">
        <w:rPr>
          <w:rFonts w:ascii="Arial" w:hAnsi="Arial" w:cs="Arial"/>
          <w:sz w:val="20"/>
          <w:szCs w:val="20"/>
        </w:rPr>
        <w:t xml:space="preserve">Tablica </w:t>
      </w:r>
      <w:r>
        <w:rPr>
          <w:rFonts w:ascii="Arial" w:hAnsi="Arial" w:cs="Arial"/>
          <w:sz w:val="20"/>
          <w:szCs w:val="20"/>
        </w:rPr>
        <w:t>2</w:t>
      </w:r>
      <w:r w:rsidRPr="00A201BD">
        <w:rPr>
          <w:rFonts w:ascii="Arial" w:hAnsi="Arial" w:cs="Arial"/>
          <w:sz w:val="20"/>
          <w:szCs w:val="20"/>
        </w:rPr>
        <w:t>. Usporedba</w:t>
      </w:r>
      <w:r>
        <w:rPr>
          <w:rFonts w:ascii="Arial" w:hAnsi="Arial" w:cs="Arial"/>
          <w:sz w:val="20"/>
          <w:szCs w:val="20"/>
        </w:rPr>
        <w:t xml:space="preserve"> godišnje</w:t>
      </w:r>
      <w:r w:rsidRPr="00A201BD">
        <w:rPr>
          <w:rFonts w:ascii="Arial" w:hAnsi="Arial" w:cs="Arial"/>
          <w:sz w:val="20"/>
          <w:szCs w:val="20"/>
        </w:rPr>
        <w:t xml:space="preserve"> količine oborine i srednje godišnje temperature u Preku u 2014. s višegodišnjim prosjekom (1961</w:t>
      </w:r>
      <w:r>
        <w:rPr>
          <w:rFonts w:ascii="Arial" w:hAnsi="Arial" w:cs="Arial"/>
          <w:sz w:val="20"/>
          <w:szCs w:val="20"/>
        </w:rPr>
        <w:t>.</w:t>
      </w:r>
      <w:r w:rsidRPr="00A201BD">
        <w:rPr>
          <w:rFonts w:ascii="Arial" w:hAnsi="Arial" w:cs="Arial"/>
          <w:sz w:val="20"/>
          <w:szCs w:val="20"/>
        </w:rPr>
        <w:t>-1990</w:t>
      </w:r>
      <w:r>
        <w:rPr>
          <w:rFonts w:ascii="Arial" w:hAnsi="Arial" w:cs="Arial"/>
          <w:sz w:val="20"/>
          <w:szCs w:val="20"/>
        </w:rPr>
        <w:t>.</w:t>
      </w:r>
      <w:r w:rsidRPr="00A201BD">
        <w:rPr>
          <w:rFonts w:ascii="Arial" w:hAnsi="Arial" w:cs="Arial"/>
          <w:sz w:val="20"/>
          <w:szCs w:val="20"/>
        </w:rPr>
        <w:t>) u Zadru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1192"/>
      </w:tblGrid>
      <w:tr w:rsidR="008C6414" w:rsidRPr="009010BD" w:rsidTr="00116A40">
        <w:trPr>
          <w:jc w:val="center"/>
        </w:trPr>
        <w:tc>
          <w:tcPr>
            <w:tcW w:w="0" w:type="auto"/>
          </w:tcPr>
          <w:p w:rsidR="008C6414" w:rsidRPr="009010BD" w:rsidRDefault="008C6414" w:rsidP="008C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0BD">
              <w:rPr>
                <w:rFonts w:ascii="Arial" w:eastAsia="Times New Roman" w:hAnsi="Arial" w:cs="Arial"/>
                <w:sz w:val="20"/>
                <w:szCs w:val="20"/>
              </w:rPr>
              <w:t>Srednja</w:t>
            </w:r>
            <w:r w:rsidR="007B62B4" w:rsidRPr="009010BD">
              <w:rPr>
                <w:rFonts w:ascii="Arial" w:eastAsia="Times New Roman" w:hAnsi="Arial" w:cs="Arial"/>
                <w:sz w:val="20"/>
                <w:szCs w:val="20"/>
              </w:rPr>
              <w:t xml:space="preserve"> godišnja temperatura zraka 2014</w:t>
            </w:r>
            <w:r w:rsidRPr="009010BD">
              <w:rPr>
                <w:rFonts w:ascii="Arial" w:eastAsia="Times New Roman" w:hAnsi="Arial" w:cs="Arial"/>
                <w:sz w:val="20"/>
                <w:szCs w:val="20"/>
              </w:rPr>
              <w:t>.g u Preku(ºC)</w:t>
            </w:r>
          </w:p>
        </w:tc>
        <w:tc>
          <w:tcPr>
            <w:tcW w:w="0" w:type="auto"/>
          </w:tcPr>
          <w:p w:rsidR="008C6414" w:rsidRPr="009010BD" w:rsidRDefault="008C641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6414" w:rsidRPr="009010BD" w:rsidRDefault="008C641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6414" w:rsidRPr="009010BD" w:rsidRDefault="007B62B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10BD">
              <w:rPr>
                <w:rFonts w:ascii="Arial" w:eastAsia="Times New Roman" w:hAnsi="Arial" w:cs="Arial"/>
                <w:sz w:val="20"/>
                <w:szCs w:val="20"/>
              </w:rPr>
              <w:t>16,</w:t>
            </w:r>
            <w:r w:rsidR="009D4643" w:rsidRPr="009010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C6414" w:rsidRPr="009010BD" w:rsidTr="00116A40">
        <w:trPr>
          <w:jc w:val="center"/>
        </w:trPr>
        <w:tc>
          <w:tcPr>
            <w:tcW w:w="0" w:type="auto"/>
          </w:tcPr>
          <w:p w:rsidR="008C6414" w:rsidRPr="009010BD" w:rsidRDefault="008C6414" w:rsidP="008C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0BD">
              <w:rPr>
                <w:rFonts w:ascii="Arial" w:eastAsia="Times New Roman" w:hAnsi="Arial" w:cs="Arial"/>
                <w:sz w:val="20"/>
                <w:szCs w:val="20"/>
              </w:rPr>
              <w:t>Višegodišnji prosjek srednjih temperatura za Zadar(ºC)</w:t>
            </w:r>
          </w:p>
        </w:tc>
        <w:tc>
          <w:tcPr>
            <w:tcW w:w="0" w:type="auto"/>
          </w:tcPr>
          <w:tbl>
            <w:tblPr>
              <w:tblW w:w="976" w:type="dxa"/>
              <w:tblLook w:val="00A0" w:firstRow="1" w:lastRow="0" w:firstColumn="1" w:lastColumn="0" w:noHBand="0" w:noVBand="0"/>
            </w:tblPr>
            <w:tblGrid>
              <w:gridCol w:w="976"/>
            </w:tblGrid>
            <w:tr w:rsidR="008C6414" w:rsidRPr="009010BD" w:rsidTr="00803EC4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414" w:rsidRPr="009010BD" w:rsidRDefault="008C6414" w:rsidP="00736C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C6414" w:rsidRPr="009010BD" w:rsidTr="00803EC4">
              <w:trPr>
                <w:trHeight w:val="25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C6414" w:rsidRPr="009010BD" w:rsidRDefault="008C6414" w:rsidP="00736C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9010B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14,9</w:t>
                  </w:r>
                </w:p>
              </w:tc>
            </w:tr>
          </w:tbl>
          <w:p w:rsidR="008C6414" w:rsidRPr="00064F9E" w:rsidRDefault="008C641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6414" w:rsidRPr="009010BD" w:rsidTr="00116A40">
        <w:trPr>
          <w:jc w:val="center"/>
        </w:trPr>
        <w:tc>
          <w:tcPr>
            <w:tcW w:w="0" w:type="auto"/>
          </w:tcPr>
          <w:p w:rsidR="008C6414" w:rsidRPr="00A201BD" w:rsidRDefault="007B62B4" w:rsidP="008C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01BD">
              <w:rPr>
                <w:rFonts w:ascii="Arial" w:eastAsia="Times New Roman" w:hAnsi="Arial" w:cs="Arial"/>
                <w:sz w:val="20"/>
                <w:szCs w:val="20"/>
              </w:rPr>
              <w:t>Ukupna količina oborina u 2014</w:t>
            </w:r>
            <w:r w:rsidR="008C6414" w:rsidRPr="00A201BD">
              <w:rPr>
                <w:rFonts w:ascii="Arial" w:eastAsia="Times New Roman" w:hAnsi="Arial" w:cs="Arial"/>
                <w:sz w:val="20"/>
                <w:szCs w:val="20"/>
              </w:rPr>
              <w:t>.g u Preku(mm)</w:t>
            </w:r>
          </w:p>
        </w:tc>
        <w:tc>
          <w:tcPr>
            <w:tcW w:w="0" w:type="auto"/>
          </w:tcPr>
          <w:p w:rsidR="008C6414" w:rsidRPr="009010BD" w:rsidRDefault="008C641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C6414" w:rsidRPr="009010BD" w:rsidRDefault="007B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0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064F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409</w:t>
            </w:r>
          </w:p>
          <w:p w:rsidR="008C6414" w:rsidRPr="009010BD" w:rsidRDefault="008C641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6414" w:rsidRPr="009010BD" w:rsidTr="00116A40">
        <w:trPr>
          <w:jc w:val="center"/>
        </w:trPr>
        <w:tc>
          <w:tcPr>
            <w:tcW w:w="0" w:type="auto"/>
          </w:tcPr>
          <w:p w:rsidR="008C6414" w:rsidRPr="00A201BD" w:rsidRDefault="008C6414" w:rsidP="008C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01BD">
              <w:rPr>
                <w:rFonts w:ascii="Arial" w:eastAsia="Times New Roman" w:hAnsi="Arial" w:cs="Arial"/>
                <w:sz w:val="20"/>
                <w:szCs w:val="20"/>
              </w:rPr>
              <w:t>Višegodišnji prosjek oborina za Zadar(mm)</w:t>
            </w:r>
          </w:p>
        </w:tc>
        <w:tc>
          <w:tcPr>
            <w:tcW w:w="0" w:type="auto"/>
          </w:tcPr>
          <w:p w:rsidR="008C6414" w:rsidRPr="009010BD" w:rsidRDefault="008C6414" w:rsidP="00736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C6414" w:rsidRPr="009010BD" w:rsidRDefault="008C6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0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879</w:t>
            </w:r>
          </w:p>
        </w:tc>
      </w:tr>
    </w:tbl>
    <w:p w:rsidR="00687E06" w:rsidRPr="00A201BD" w:rsidRDefault="00687E06" w:rsidP="00064F9E">
      <w:pPr>
        <w:jc w:val="both"/>
        <w:rPr>
          <w:rFonts w:ascii="Arial" w:hAnsi="Arial" w:cs="Arial"/>
          <w:sz w:val="20"/>
          <w:szCs w:val="20"/>
        </w:rPr>
      </w:pPr>
      <w:r w:rsidRPr="00A201BD">
        <w:rPr>
          <w:rFonts w:ascii="Arial" w:hAnsi="Arial" w:cs="Arial"/>
          <w:sz w:val="20"/>
          <w:szCs w:val="20"/>
        </w:rPr>
        <w:t xml:space="preserve">Iz </w:t>
      </w:r>
      <w:r w:rsidR="0082462E">
        <w:rPr>
          <w:rFonts w:ascii="Arial" w:hAnsi="Arial" w:cs="Arial"/>
          <w:sz w:val="20"/>
          <w:szCs w:val="20"/>
        </w:rPr>
        <w:t>T</w:t>
      </w:r>
      <w:r w:rsidRPr="00A201BD">
        <w:rPr>
          <w:rFonts w:ascii="Arial" w:hAnsi="Arial" w:cs="Arial"/>
          <w:sz w:val="20"/>
          <w:szCs w:val="20"/>
        </w:rPr>
        <w:t xml:space="preserve">ablice </w:t>
      </w:r>
      <w:r w:rsidR="00C145D7">
        <w:rPr>
          <w:rFonts w:ascii="Arial" w:hAnsi="Arial" w:cs="Arial"/>
          <w:sz w:val="20"/>
          <w:szCs w:val="20"/>
        </w:rPr>
        <w:t>2</w:t>
      </w:r>
      <w:r w:rsidR="002108BC" w:rsidRPr="00A201BD">
        <w:rPr>
          <w:rFonts w:ascii="Arial" w:hAnsi="Arial" w:cs="Arial"/>
          <w:sz w:val="20"/>
          <w:szCs w:val="20"/>
        </w:rPr>
        <w:t xml:space="preserve"> </w:t>
      </w:r>
      <w:r w:rsidRPr="00A201BD">
        <w:rPr>
          <w:rFonts w:ascii="Arial" w:hAnsi="Arial" w:cs="Arial"/>
          <w:sz w:val="20"/>
          <w:szCs w:val="20"/>
        </w:rPr>
        <w:t>vidimo da je prošla 2014. bila toplija od višegodišnjeg prosjeka</w:t>
      </w:r>
      <w:r w:rsidR="002108BC" w:rsidRPr="00A201BD">
        <w:rPr>
          <w:rFonts w:ascii="Arial" w:hAnsi="Arial" w:cs="Arial"/>
          <w:sz w:val="20"/>
          <w:szCs w:val="20"/>
        </w:rPr>
        <w:t>,</w:t>
      </w:r>
      <w:r w:rsidRPr="00A201BD">
        <w:rPr>
          <w:rFonts w:ascii="Arial" w:hAnsi="Arial" w:cs="Arial"/>
          <w:sz w:val="20"/>
          <w:szCs w:val="20"/>
        </w:rPr>
        <w:t xml:space="preserve"> te da je imala puno više oborin</w:t>
      </w:r>
      <w:r w:rsidR="002108BC" w:rsidRPr="00A201BD">
        <w:rPr>
          <w:rFonts w:ascii="Arial" w:hAnsi="Arial" w:cs="Arial"/>
          <w:sz w:val="20"/>
          <w:szCs w:val="20"/>
        </w:rPr>
        <w:t>e</w:t>
      </w:r>
      <w:r w:rsidRPr="00A201BD">
        <w:rPr>
          <w:rFonts w:ascii="Arial" w:hAnsi="Arial" w:cs="Arial"/>
          <w:sz w:val="20"/>
          <w:szCs w:val="20"/>
        </w:rPr>
        <w:t xml:space="preserve"> nego što je uobičajeno.</w:t>
      </w:r>
    </w:p>
    <w:p w:rsidR="00502A19" w:rsidRPr="00A201BD" w:rsidRDefault="00687E06" w:rsidP="00064F9E">
      <w:pPr>
        <w:jc w:val="both"/>
        <w:rPr>
          <w:rFonts w:ascii="Arial" w:hAnsi="Arial" w:cs="Arial"/>
          <w:sz w:val="20"/>
          <w:szCs w:val="20"/>
        </w:rPr>
      </w:pPr>
      <w:r w:rsidRPr="00A201BD">
        <w:rPr>
          <w:rFonts w:ascii="Arial" w:hAnsi="Arial" w:cs="Arial"/>
          <w:sz w:val="20"/>
          <w:szCs w:val="20"/>
        </w:rPr>
        <w:t>Ovolika količina oborin</w:t>
      </w:r>
      <w:r w:rsidR="002108BC" w:rsidRPr="00A201BD">
        <w:rPr>
          <w:rFonts w:ascii="Arial" w:hAnsi="Arial" w:cs="Arial"/>
          <w:sz w:val="20"/>
          <w:szCs w:val="20"/>
        </w:rPr>
        <w:t>e</w:t>
      </w:r>
      <w:r w:rsidRPr="00A201BD">
        <w:rPr>
          <w:rFonts w:ascii="Arial" w:hAnsi="Arial" w:cs="Arial"/>
          <w:sz w:val="20"/>
          <w:szCs w:val="20"/>
        </w:rPr>
        <w:t xml:space="preserve"> u jednoj  godini, prema podacima koje imamo za razdoblje od 1980-2010, nije zabilježena.</w:t>
      </w:r>
      <w:r w:rsidR="002108BC" w:rsidRPr="00A201BD">
        <w:rPr>
          <w:rFonts w:ascii="Arial" w:hAnsi="Arial" w:cs="Arial"/>
          <w:sz w:val="20"/>
          <w:szCs w:val="20"/>
        </w:rPr>
        <w:t xml:space="preserve"> </w:t>
      </w:r>
      <w:r w:rsidRPr="00A201BD">
        <w:rPr>
          <w:rFonts w:ascii="Arial" w:hAnsi="Arial" w:cs="Arial"/>
          <w:sz w:val="20"/>
          <w:szCs w:val="20"/>
        </w:rPr>
        <w:t>Po količini oborin</w:t>
      </w:r>
      <w:r w:rsidR="002108BC" w:rsidRPr="00A201BD">
        <w:rPr>
          <w:rFonts w:ascii="Arial" w:hAnsi="Arial" w:cs="Arial"/>
          <w:sz w:val="20"/>
          <w:szCs w:val="20"/>
        </w:rPr>
        <w:t>e</w:t>
      </w:r>
      <w:r w:rsidRPr="00A201BD">
        <w:rPr>
          <w:rFonts w:ascii="Arial" w:hAnsi="Arial" w:cs="Arial"/>
          <w:sz w:val="20"/>
          <w:szCs w:val="20"/>
        </w:rPr>
        <w:t xml:space="preserve"> jedino joj se malo približila 2002.</w:t>
      </w:r>
      <w:r w:rsidR="002108BC" w:rsidRPr="00A201BD">
        <w:rPr>
          <w:rFonts w:ascii="Arial" w:hAnsi="Arial" w:cs="Arial"/>
          <w:sz w:val="20"/>
          <w:szCs w:val="20"/>
        </w:rPr>
        <w:t>,</w:t>
      </w:r>
      <w:r w:rsidRPr="00A201BD">
        <w:rPr>
          <w:rFonts w:ascii="Arial" w:hAnsi="Arial" w:cs="Arial"/>
          <w:sz w:val="20"/>
          <w:szCs w:val="20"/>
        </w:rPr>
        <w:t xml:space="preserve"> kad je palo </w:t>
      </w:r>
      <w:r w:rsidRPr="00A201BD">
        <w:rPr>
          <w:rFonts w:ascii="Arial" w:hAnsi="Arial" w:cs="Arial"/>
          <w:b/>
          <w:sz w:val="20"/>
          <w:szCs w:val="20"/>
        </w:rPr>
        <w:t>1195</w:t>
      </w:r>
      <w:r w:rsidRPr="00A201BD">
        <w:rPr>
          <w:rFonts w:ascii="Arial" w:hAnsi="Arial" w:cs="Arial"/>
          <w:sz w:val="20"/>
          <w:szCs w:val="20"/>
        </w:rPr>
        <w:t xml:space="preserve"> mm . Iste godine zabilježeno je </w:t>
      </w:r>
      <w:r w:rsidRPr="00A201BD">
        <w:rPr>
          <w:rFonts w:ascii="Arial" w:hAnsi="Arial" w:cs="Arial"/>
          <w:b/>
          <w:sz w:val="20"/>
          <w:szCs w:val="20"/>
        </w:rPr>
        <w:t>105</w:t>
      </w:r>
      <w:r w:rsidRPr="00A201BD">
        <w:rPr>
          <w:rFonts w:ascii="Arial" w:hAnsi="Arial" w:cs="Arial"/>
          <w:sz w:val="20"/>
          <w:szCs w:val="20"/>
        </w:rPr>
        <w:t xml:space="preserve"> mm oborina u srpnju.</w:t>
      </w:r>
      <w:r w:rsidR="003D79C1" w:rsidRPr="00A201BD">
        <w:rPr>
          <w:rFonts w:ascii="Arial" w:hAnsi="Arial" w:cs="Arial"/>
          <w:sz w:val="20"/>
          <w:szCs w:val="20"/>
        </w:rPr>
        <w:t xml:space="preserve"> </w:t>
      </w:r>
    </w:p>
    <w:p w:rsidR="00320206" w:rsidRPr="00A201BD" w:rsidRDefault="00320206" w:rsidP="00064F9E">
      <w:pPr>
        <w:jc w:val="both"/>
        <w:rPr>
          <w:rFonts w:ascii="Arial" w:hAnsi="Arial" w:cs="Arial"/>
          <w:sz w:val="20"/>
          <w:szCs w:val="20"/>
        </w:rPr>
      </w:pPr>
      <w:r w:rsidRPr="00A201BD">
        <w:rPr>
          <w:rFonts w:ascii="Arial" w:hAnsi="Arial" w:cs="Arial"/>
          <w:sz w:val="20"/>
          <w:szCs w:val="20"/>
        </w:rPr>
        <w:lastRenderedPageBreak/>
        <w:t>Također zanimljiv je ekstrem koji se desio</w:t>
      </w:r>
      <w:r w:rsidR="00F72860" w:rsidRPr="00A201BD">
        <w:rPr>
          <w:rFonts w:ascii="Arial" w:hAnsi="Arial" w:cs="Arial"/>
          <w:sz w:val="20"/>
          <w:szCs w:val="20"/>
        </w:rPr>
        <w:t xml:space="preserve"> u Zadru</w:t>
      </w:r>
      <w:r w:rsidRPr="00A201BD">
        <w:rPr>
          <w:rFonts w:ascii="Arial" w:hAnsi="Arial" w:cs="Arial"/>
          <w:sz w:val="20"/>
          <w:szCs w:val="20"/>
        </w:rPr>
        <w:t xml:space="preserve"> 1986. </w:t>
      </w:r>
      <w:r w:rsidR="00F72860" w:rsidRPr="00A201BD">
        <w:rPr>
          <w:rFonts w:ascii="Arial" w:hAnsi="Arial" w:cs="Arial"/>
          <w:sz w:val="20"/>
          <w:szCs w:val="20"/>
        </w:rPr>
        <w:t>k</w:t>
      </w:r>
      <w:r w:rsidRPr="00A201BD">
        <w:rPr>
          <w:rFonts w:ascii="Arial" w:hAnsi="Arial" w:cs="Arial"/>
          <w:sz w:val="20"/>
          <w:szCs w:val="20"/>
        </w:rPr>
        <w:t xml:space="preserve">ada </w:t>
      </w:r>
      <w:r w:rsidR="00F72860" w:rsidRPr="00A201BD">
        <w:rPr>
          <w:rFonts w:ascii="Arial" w:hAnsi="Arial" w:cs="Arial"/>
          <w:sz w:val="20"/>
          <w:szCs w:val="20"/>
        </w:rPr>
        <w:t>je u mjesecu rujnu palo 319,5</w:t>
      </w:r>
      <w:r w:rsidRPr="00A201BD">
        <w:rPr>
          <w:rFonts w:ascii="Arial" w:hAnsi="Arial" w:cs="Arial"/>
          <w:sz w:val="20"/>
          <w:szCs w:val="20"/>
        </w:rPr>
        <w:t xml:space="preserve"> mm</w:t>
      </w:r>
      <w:r w:rsidR="00F72860" w:rsidRPr="00A201BD">
        <w:rPr>
          <w:rFonts w:ascii="Arial" w:hAnsi="Arial" w:cs="Arial"/>
          <w:sz w:val="20"/>
          <w:szCs w:val="20"/>
        </w:rPr>
        <w:t xml:space="preserve"> kiše</w:t>
      </w:r>
      <w:r w:rsidRPr="00A201BD">
        <w:rPr>
          <w:rFonts w:ascii="Arial" w:hAnsi="Arial" w:cs="Arial"/>
          <w:sz w:val="20"/>
          <w:szCs w:val="20"/>
        </w:rPr>
        <w:t xml:space="preserve"> u je</w:t>
      </w:r>
      <w:r w:rsidR="00F72860" w:rsidRPr="00A201BD">
        <w:rPr>
          <w:rFonts w:ascii="Arial" w:hAnsi="Arial" w:cs="Arial"/>
          <w:sz w:val="20"/>
          <w:szCs w:val="20"/>
        </w:rPr>
        <w:t>dnom danu.</w:t>
      </w:r>
    </w:p>
    <w:p w:rsidR="007E2DF7" w:rsidRPr="009010BD" w:rsidRDefault="008C6414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Htjeli smo vidjeti kako su na službenim stranicama DHMZ-a ocijenili klimu u prošloj godini i kako je situacija bila  u ostalim dijelovima Hrvatske.</w:t>
      </w:r>
      <w:r w:rsidR="007E2DF7" w:rsidRPr="009010BD">
        <w:rPr>
          <w:rFonts w:ascii="Arial" w:hAnsi="Arial" w:cs="Arial"/>
          <w:sz w:val="20"/>
          <w:szCs w:val="20"/>
        </w:rPr>
        <w:t>Na slijedećim slikama količina oborin</w:t>
      </w:r>
      <w:r w:rsidR="003D79C1" w:rsidRPr="009010BD">
        <w:rPr>
          <w:rFonts w:ascii="Arial" w:hAnsi="Arial" w:cs="Arial"/>
          <w:sz w:val="20"/>
          <w:szCs w:val="20"/>
        </w:rPr>
        <w:t>e</w:t>
      </w:r>
      <w:r w:rsidR="007E2DF7" w:rsidRPr="009010BD">
        <w:rPr>
          <w:rFonts w:ascii="Arial" w:hAnsi="Arial" w:cs="Arial"/>
          <w:sz w:val="20"/>
          <w:szCs w:val="20"/>
        </w:rPr>
        <w:t xml:space="preserve"> prikazana je u percentilima. To je vrijednost nekog parametra ispod kojeg se nalazi određeni postotak u skupu podataka i često se koriste u izvještajima o ocjenama, kao što je ocjena klime u nekom periodu.</w:t>
      </w:r>
    </w:p>
    <w:p w:rsidR="007E2DF7" w:rsidRPr="009010BD" w:rsidRDefault="007E2DF7" w:rsidP="008C641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947C3E" w:rsidRPr="009010BD" w:rsidRDefault="00947C3E" w:rsidP="008C641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2B8D7E10" wp14:editId="6E29F072">
            <wp:extent cx="2797175" cy="2249275"/>
            <wp:effectExtent l="0" t="0" r="3175" b="0"/>
            <wp:docPr id="6" name="Picture 6" descr="http://klima.hr/ocjene/2014/2014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ima.hr/ocjene/2014/2014tem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96" cy="22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3E" w:rsidRPr="009F63AF" w:rsidRDefault="00947C3E" w:rsidP="008C6414">
      <w:pPr>
        <w:rPr>
          <w:rFonts w:ascii="Arial" w:hAnsi="Arial" w:cs="Arial"/>
          <w:b/>
          <w:bCs/>
          <w:sz w:val="18"/>
          <w:szCs w:val="18"/>
        </w:rPr>
      </w:pPr>
      <w:r w:rsidRPr="009F63AF">
        <w:rPr>
          <w:rFonts w:ascii="Arial" w:hAnsi="Arial" w:cs="Arial"/>
          <w:b/>
          <w:bCs/>
          <w:sz w:val="18"/>
          <w:szCs w:val="18"/>
        </w:rPr>
        <w:t>Slika 1.-ODSTUPANJE SREDNJE TEMPERATURE ZRAKA U 2014. GODINI</w:t>
      </w:r>
    </w:p>
    <w:p w:rsidR="007E2DF7" w:rsidRPr="009010BD" w:rsidRDefault="007E2DF7" w:rsidP="007E2DF7">
      <w:pPr>
        <w:rPr>
          <w:rFonts w:ascii="Arial" w:hAnsi="Arial" w:cs="Arial"/>
          <w:sz w:val="20"/>
          <w:szCs w:val="20"/>
        </w:rPr>
      </w:pPr>
    </w:p>
    <w:p w:rsidR="007E2DF7" w:rsidRPr="009010BD" w:rsidRDefault="007E2DF7" w:rsidP="00064F9E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9010BD">
        <w:rPr>
          <w:rFonts w:ascii="Arial" w:hAnsi="Arial" w:cs="Arial"/>
          <w:sz w:val="20"/>
          <w:szCs w:val="20"/>
        </w:rPr>
        <w:t>Na karti (</w:t>
      </w:r>
      <w:hyperlink r:id="rId13" w:history="1">
        <w:r w:rsidRPr="009010BD">
          <w:rPr>
            <w:rStyle w:val="Hyperlink"/>
            <w:rFonts w:ascii="Arial" w:hAnsi="Arial" w:cs="Arial"/>
            <w:sz w:val="20"/>
            <w:szCs w:val="20"/>
          </w:rPr>
          <w:t>www.meteo.hr</w:t>
        </w:r>
      </w:hyperlink>
      <w:r w:rsidRPr="009010BD">
        <w:rPr>
          <w:rFonts w:ascii="Arial" w:hAnsi="Arial" w:cs="Arial"/>
          <w:sz w:val="20"/>
          <w:szCs w:val="20"/>
        </w:rPr>
        <w:t xml:space="preserve">) su predočena odstupanja srednjih godišnjih temperatura na </w:t>
      </w:r>
      <w:r w:rsidR="003D79C1" w:rsidRPr="009010BD">
        <w:rPr>
          <w:rFonts w:ascii="Arial" w:hAnsi="Arial" w:cs="Arial"/>
          <w:sz w:val="20"/>
          <w:szCs w:val="20"/>
        </w:rPr>
        <w:t xml:space="preserve">izabranim </w:t>
      </w:r>
      <w:r w:rsidRPr="009010BD">
        <w:rPr>
          <w:rFonts w:ascii="Arial" w:hAnsi="Arial" w:cs="Arial"/>
          <w:sz w:val="20"/>
          <w:szCs w:val="20"/>
        </w:rPr>
        <w:t xml:space="preserve"> postajama u odnosu na višegodišnji prosjek.</w:t>
      </w:r>
      <w:r w:rsidR="003D79C1" w:rsidRPr="009010BD">
        <w:rPr>
          <w:rFonts w:ascii="Arial" w:hAnsi="Arial" w:cs="Arial"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>Prema raspodjeli percentila, toplinske prilike u Hrvatskoj za 2014.</w:t>
      </w:r>
      <w:r w:rsidR="003D79C1" w:rsidRPr="009010BD">
        <w:rPr>
          <w:rFonts w:ascii="Arial" w:hAnsi="Arial" w:cs="Arial"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 xml:space="preserve">godinu opisane su kategorijom </w:t>
      </w:r>
      <w:r w:rsidRPr="009010BD">
        <w:rPr>
          <w:rFonts w:ascii="Arial" w:hAnsi="Arial" w:cs="Arial"/>
          <w:b/>
          <w:sz w:val="20"/>
          <w:szCs w:val="20"/>
        </w:rPr>
        <w:t>ekstremno toplo</w:t>
      </w:r>
      <w:r w:rsidRPr="009010BD">
        <w:rPr>
          <w:rFonts w:ascii="Arial" w:hAnsi="Arial" w:cs="Arial"/>
          <w:sz w:val="20"/>
          <w:szCs w:val="20"/>
        </w:rPr>
        <w:t>.</w:t>
      </w:r>
    </w:p>
    <w:p w:rsidR="00947C3E" w:rsidRPr="009010BD" w:rsidRDefault="00947C3E" w:rsidP="00064F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10BD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Srednja godišnja temperatura zraka za 2014. godinu na području Hrvatske bila je viša od višegodišnjeg prosjeka (1961.-1990.). Anomalije srednje godišnje temperature zraka nalaze se u rasponu od 1.1°C (Komiža) do 2.5°C (Gospić).</w:t>
      </w:r>
    </w:p>
    <w:p w:rsidR="008C6414" w:rsidRPr="009010BD" w:rsidRDefault="00947C3E" w:rsidP="008C641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B4946F4" wp14:editId="2533ECDD">
            <wp:extent cx="2971800" cy="2317505"/>
            <wp:effectExtent l="0" t="0" r="0" b="6985"/>
            <wp:docPr id="7" name="Picture 7" descr="http://klima.hr/ocjene/2014/2014obo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ima.hr/ocjene/2014/2014oborin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33" cy="232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EA" w:rsidRPr="009F63AF" w:rsidRDefault="009C3EEA" w:rsidP="008C6414">
      <w:pPr>
        <w:rPr>
          <w:rFonts w:ascii="Arial" w:hAnsi="Arial" w:cs="Arial"/>
          <w:sz w:val="18"/>
          <w:szCs w:val="18"/>
        </w:rPr>
      </w:pPr>
      <w:r w:rsidRPr="009F63AF">
        <w:rPr>
          <w:rFonts w:ascii="Arial" w:hAnsi="Arial" w:cs="Arial"/>
          <w:b/>
          <w:sz w:val="18"/>
          <w:szCs w:val="18"/>
        </w:rPr>
        <w:t>Slika 2.-</w:t>
      </w:r>
      <w:r w:rsidRPr="009F63AF">
        <w:rPr>
          <w:rFonts w:ascii="Arial" w:hAnsi="Arial" w:cs="Arial"/>
          <w:sz w:val="18"/>
          <w:szCs w:val="18"/>
        </w:rPr>
        <w:t xml:space="preserve"> </w:t>
      </w:r>
      <w:r w:rsidRPr="009F63AF">
        <w:rPr>
          <w:rFonts w:ascii="Arial" w:hAnsi="Arial" w:cs="Arial"/>
          <w:b/>
          <w:bCs/>
          <w:sz w:val="18"/>
          <w:szCs w:val="18"/>
        </w:rPr>
        <w:t>ODSTUPANJE KOLIČINE OBORINE U 2014. GODINI</w:t>
      </w:r>
    </w:p>
    <w:p w:rsidR="007E2DF7" w:rsidRPr="009010BD" w:rsidRDefault="008C6414" w:rsidP="00064F9E">
      <w:pPr>
        <w:jc w:val="both"/>
        <w:rPr>
          <w:rFonts w:ascii="Arial" w:eastAsia="Times New Roman" w:hAnsi="Arial" w:cs="Arial"/>
          <w:color w:val="202962"/>
          <w:sz w:val="20"/>
          <w:szCs w:val="20"/>
          <w:shd w:val="clear" w:color="auto" w:fill="FFFFFF"/>
          <w:lang w:eastAsia="hr-HR"/>
        </w:rPr>
      </w:pPr>
      <w:r w:rsidRPr="009010BD">
        <w:rPr>
          <w:rFonts w:ascii="Arial" w:hAnsi="Arial" w:cs="Arial"/>
          <w:sz w:val="20"/>
          <w:szCs w:val="20"/>
        </w:rPr>
        <w:t>Analiza godišnjih količina oborine koje su izražene u % višegodišnjeg prosjeka (1961.</w:t>
      </w:r>
      <w:r w:rsidR="00947C3E" w:rsidRPr="009010BD">
        <w:rPr>
          <w:rFonts w:ascii="Arial" w:hAnsi="Arial" w:cs="Arial"/>
          <w:sz w:val="20"/>
          <w:szCs w:val="20"/>
        </w:rPr>
        <w:t>-1990.) je pokazala da je u 2014</w:t>
      </w:r>
      <w:r w:rsidR="007E2DF7" w:rsidRPr="009010BD">
        <w:rPr>
          <w:rFonts w:ascii="Arial" w:hAnsi="Arial" w:cs="Arial"/>
          <w:sz w:val="20"/>
          <w:szCs w:val="20"/>
        </w:rPr>
        <w:t>. godini u cijeloj Hrvatskoj oborin</w:t>
      </w:r>
      <w:r w:rsidR="003D79C1" w:rsidRPr="009010BD">
        <w:rPr>
          <w:rFonts w:ascii="Arial" w:hAnsi="Arial" w:cs="Arial"/>
          <w:sz w:val="20"/>
          <w:szCs w:val="20"/>
        </w:rPr>
        <w:t>e</w:t>
      </w:r>
      <w:r w:rsidR="007E2DF7" w:rsidRPr="009010BD">
        <w:rPr>
          <w:rFonts w:ascii="Arial" w:hAnsi="Arial" w:cs="Arial"/>
          <w:sz w:val="20"/>
          <w:szCs w:val="20"/>
        </w:rPr>
        <w:t xml:space="preserve"> bilo više od prosjeka</w:t>
      </w:r>
      <w:r w:rsidR="007E2DF7" w:rsidRPr="009010BD">
        <w:rPr>
          <w:rFonts w:ascii="Arial" w:eastAsia="Times New Roman" w:hAnsi="Arial" w:cs="Arial"/>
          <w:color w:val="202962"/>
          <w:sz w:val="20"/>
          <w:szCs w:val="20"/>
          <w:shd w:val="clear" w:color="auto" w:fill="FFFFFF"/>
          <w:lang w:eastAsia="hr-HR"/>
        </w:rPr>
        <w:t xml:space="preserve"> .</w:t>
      </w:r>
    </w:p>
    <w:p w:rsidR="008C6414" w:rsidRPr="009010BD" w:rsidRDefault="008C6414" w:rsidP="00064F9E">
      <w:pPr>
        <w:jc w:val="both"/>
        <w:rPr>
          <w:rFonts w:ascii="Arial" w:eastAsia="Times New Roman" w:hAnsi="Arial" w:cs="Arial"/>
          <w:color w:val="202962"/>
          <w:sz w:val="20"/>
          <w:szCs w:val="20"/>
          <w:shd w:val="clear" w:color="auto" w:fill="FFFFFF"/>
          <w:lang w:eastAsia="hr-HR"/>
        </w:rPr>
      </w:pPr>
      <w:r w:rsidRPr="009010BD">
        <w:rPr>
          <w:rFonts w:ascii="Arial" w:hAnsi="Arial" w:cs="Arial"/>
          <w:sz w:val="20"/>
          <w:szCs w:val="20"/>
        </w:rPr>
        <w:lastRenderedPageBreak/>
        <w:t xml:space="preserve">Veći dio  Hrvatske kao i Jadrana nalazi se u kategoriji </w:t>
      </w:r>
      <w:r w:rsidR="007E2DF7" w:rsidRPr="009010BD">
        <w:rPr>
          <w:rFonts w:ascii="Arial" w:hAnsi="Arial" w:cs="Arial"/>
          <w:b/>
          <w:bCs/>
          <w:sz w:val="20"/>
          <w:szCs w:val="20"/>
        </w:rPr>
        <w:t>ekstremno kišno.</w:t>
      </w:r>
    </w:p>
    <w:p w:rsidR="008C6414" w:rsidRPr="009010BD" w:rsidRDefault="00687E06" w:rsidP="00736C36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Prilikom izrade projekta suša 2011., n</w:t>
      </w:r>
      <w:r w:rsidR="008C6414" w:rsidRPr="009010BD">
        <w:rPr>
          <w:rFonts w:ascii="Arial" w:hAnsi="Arial" w:cs="Arial"/>
          <w:sz w:val="20"/>
          <w:szCs w:val="20"/>
        </w:rPr>
        <w:t xml:space="preserve">a internetu smo pronašli da su posljedice </w:t>
      </w:r>
      <w:r w:rsidRPr="009010BD">
        <w:rPr>
          <w:rFonts w:ascii="Arial" w:hAnsi="Arial" w:cs="Arial"/>
          <w:sz w:val="20"/>
          <w:szCs w:val="20"/>
        </w:rPr>
        <w:t xml:space="preserve">suše </w:t>
      </w:r>
      <w:r w:rsidR="008C6414" w:rsidRPr="009010BD">
        <w:rPr>
          <w:rFonts w:ascii="Arial" w:hAnsi="Arial" w:cs="Arial"/>
          <w:sz w:val="20"/>
          <w:szCs w:val="20"/>
        </w:rPr>
        <w:t>slijedeće:</w:t>
      </w:r>
    </w:p>
    <w:p w:rsidR="008C6414" w:rsidRPr="00736C36" w:rsidRDefault="008C6414" w:rsidP="00736C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6C36">
        <w:rPr>
          <w:rFonts w:ascii="Arial" w:hAnsi="Arial" w:cs="Arial"/>
          <w:sz w:val="20"/>
          <w:szCs w:val="20"/>
        </w:rPr>
        <w:t>-slab urod maslina</w:t>
      </w:r>
    </w:p>
    <w:p w:rsidR="008C6414" w:rsidRPr="00736C36" w:rsidRDefault="008C6414" w:rsidP="00736C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6C36">
        <w:rPr>
          <w:rFonts w:ascii="Arial" w:hAnsi="Arial" w:cs="Arial"/>
          <w:sz w:val="20"/>
          <w:szCs w:val="20"/>
        </w:rPr>
        <w:t>-smanjen broj komaraca</w:t>
      </w:r>
    </w:p>
    <w:p w:rsidR="008C6414" w:rsidRPr="00736C36" w:rsidRDefault="008C6414" w:rsidP="00736C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6C36">
        <w:rPr>
          <w:rFonts w:ascii="Arial" w:hAnsi="Arial" w:cs="Arial"/>
          <w:sz w:val="20"/>
          <w:szCs w:val="20"/>
        </w:rPr>
        <w:t>presušeno jezero u Imotskom</w:t>
      </w:r>
    </w:p>
    <w:p w:rsidR="008C6414" w:rsidRPr="00736C36" w:rsidRDefault="008C6414" w:rsidP="00736C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6C36">
        <w:rPr>
          <w:rFonts w:ascii="Arial" w:hAnsi="Arial" w:cs="Arial"/>
          <w:sz w:val="20"/>
          <w:szCs w:val="20"/>
        </w:rPr>
        <w:t>nestašica pitke vode npr. u Zadru</w:t>
      </w:r>
    </w:p>
    <w:p w:rsidR="008C6414" w:rsidRPr="00736C36" w:rsidRDefault="008C6414" w:rsidP="00736C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6C36">
        <w:rPr>
          <w:rFonts w:ascii="Arial" w:hAnsi="Arial" w:cs="Arial"/>
          <w:sz w:val="20"/>
          <w:szCs w:val="20"/>
        </w:rPr>
        <w:t>presušeni bunari</w:t>
      </w:r>
    </w:p>
    <w:p w:rsidR="008C6414" w:rsidRPr="00736C36" w:rsidRDefault="008C6414" w:rsidP="00736C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36C36">
        <w:rPr>
          <w:rFonts w:ascii="Arial" w:hAnsi="Arial" w:cs="Arial"/>
          <w:sz w:val="20"/>
          <w:szCs w:val="20"/>
        </w:rPr>
        <w:t>proglašenje elementarnih nepogoda zbog suše u nekim županijama</w:t>
      </w:r>
    </w:p>
    <w:p w:rsidR="00736C36" w:rsidRDefault="00736C36" w:rsidP="009111E7">
      <w:pPr>
        <w:spacing w:after="0"/>
        <w:rPr>
          <w:rFonts w:ascii="Arial" w:hAnsi="Arial" w:cs="Arial"/>
          <w:sz w:val="20"/>
          <w:szCs w:val="20"/>
        </w:rPr>
      </w:pPr>
    </w:p>
    <w:p w:rsidR="00687E06" w:rsidRDefault="00687E06" w:rsidP="009111E7">
      <w:pPr>
        <w:spacing w:after="0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Posljedice obilnih oborina prošle godine su : </w:t>
      </w:r>
    </w:p>
    <w:p w:rsidR="00736C36" w:rsidRPr="009010BD" w:rsidRDefault="00736C36" w:rsidP="009111E7">
      <w:pPr>
        <w:spacing w:after="0"/>
        <w:rPr>
          <w:rFonts w:ascii="Arial" w:hAnsi="Arial" w:cs="Arial"/>
          <w:sz w:val="20"/>
          <w:szCs w:val="20"/>
        </w:rPr>
      </w:pPr>
    </w:p>
    <w:p w:rsidR="00687E06" w:rsidRPr="009010BD" w:rsidRDefault="00687E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slab urod maslina</w:t>
      </w:r>
    </w:p>
    <w:p w:rsidR="00687E06" w:rsidRPr="009010BD" w:rsidRDefault="00687E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slab urod vinove loze</w:t>
      </w:r>
    </w:p>
    <w:p w:rsidR="00687E06" w:rsidRPr="009010BD" w:rsidRDefault="00687E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poplave</w:t>
      </w:r>
    </w:p>
    <w:p w:rsidR="00320206" w:rsidRPr="009010BD" w:rsidRDefault="003202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najezda komaraca i štakora</w:t>
      </w:r>
    </w:p>
    <w:p w:rsidR="00320206" w:rsidRPr="009010BD" w:rsidRDefault="003202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zamućenje vode</w:t>
      </w:r>
    </w:p>
    <w:p w:rsidR="00320206" w:rsidRPr="009010BD" w:rsidRDefault="003202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progašenje elementarnih nepogoda zbog poplava</w:t>
      </w:r>
    </w:p>
    <w:p w:rsidR="00320206" w:rsidRDefault="00320206" w:rsidP="00736C3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velike materijalne štete na javnim objektima</w:t>
      </w:r>
    </w:p>
    <w:p w:rsidR="00736C36" w:rsidRPr="00736C36" w:rsidRDefault="00736C36" w:rsidP="00736C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DF7" w:rsidRPr="009010BD" w:rsidRDefault="008C6414" w:rsidP="008C641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>ZAKLJUČAK:</w:t>
      </w:r>
      <w:r w:rsidRPr="009010BD">
        <w:rPr>
          <w:rFonts w:ascii="Arial" w:hAnsi="Arial" w:cs="Arial"/>
          <w:sz w:val="20"/>
          <w:szCs w:val="20"/>
        </w:rPr>
        <w:t>.</w:t>
      </w:r>
    </w:p>
    <w:p w:rsidR="00AF487C" w:rsidRPr="009010BD" w:rsidRDefault="00AF487C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Srednja godišnja temperatura zraka u Preku bila je viša nego višegodišnji prosjek, iako se veće razlike u temperaturi uočavaju samo u prvim mjesecima godine. Ipak je to bilo dovoljno da se poremeti životni ritam biljaka i životinja u našem kraju</w:t>
      </w:r>
      <w:r w:rsidR="00235689" w:rsidRPr="009010BD">
        <w:rPr>
          <w:rFonts w:ascii="Arial" w:hAnsi="Arial" w:cs="Arial"/>
          <w:sz w:val="20"/>
          <w:szCs w:val="20"/>
        </w:rPr>
        <w:t xml:space="preserve"> kao rano buđenje ličinki prelca, rano cvijetanje marelice..</w:t>
      </w:r>
    </w:p>
    <w:p w:rsidR="00235689" w:rsidRPr="009010BD" w:rsidRDefault="00235689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Količina oborine u 2014. </w:t>
      </w:r>
      <w:r w:rsidR="00F72860" w:rsidRPr="009010BD">
        <w:rPr>
          <w:rFonts w:ascii="Arial" w:hAnsi="Arial" w:cs="Arial"/>
          <w:sz w:val="20"/>
          <w:szCs w:val="20"/>
        </w:rPr>
        <w:t>i</w:t>
      </w:r>
      <w:r w:rsidRPr="009010BD">
        <w:rPr>
          <w:rFonts w:ascii="Arial" w:hAnsi="Arial" w:cs="Arial"/>
          <w:sz w:val="20"/>
          <w:szCs w:val="20"/>
        </w:rPr>
        <w:t>znosila je 1334 mm, a višegodišnji prosjek je 879 mm za područje Zadra. Posebno je bilo puno oborina u mjesecu srpnju i rujnu, što je donjelo puno negativnih posljedica kao porast broja komaraca, poplave</w:t>
      </w:r>
      <w:r w:rsidR="00610D5C" w:rsidRPr="009010BD">
        <w:rPr>
          <w:rFonts w:ascii="Arial" w:hAnsi="Arial" w:cs="Arial"/>
          <w:sz w:val="20"/>
          <w:szCs w:val="20"/>
        </w:rPr>
        <w:t>, zamućenje pitke vode...</w:t>
      </w:r>
    </w:p>
    <w:p w:rsidR="00610D5C" w:rsidRPr="009010BD" w:rsidRDefault="00610D5C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 xml:space="preserve">Naši podatci se slažu sa službenim podatcima DHMZ-a prema kojima se u 2014. veći dio Hrvatske nalazio u kategoriji ekstremno kišno, a s obzirom na temperature u kategoriji ekstremno toplo. </w:t>
      </w:r>
    </w:p>
    <w:p w:rsidR="009C3EEA" w:rsidRPr="009010BD" w:rsidRDefault="009C3EEA" w:rsidP="00064F9E">
      <w:pPr>
        <w:jc w:val="both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Posebice su ekstremi vidljivi u količini oborin</w:t>
      </w:r>
      <w:r w:rsidR="00B018B1" w:rsidRPr="009010BD">
        <w:rPr>
          <w:rFonts w:ascii="Arial" w:hAnsi="Arial" w:cs="Arial"/>
          <w:sz w:val="20"/>
          <w:szCs w:val="20"/>
        </w:rPr>
        <w:t>e</w:t>
      </w:r>
      <w:r w:rsidRPr="009010BD">
        <w:rPr>
          <w:rFonts w:ascii="Arial" w:hAnsi="Arial" w:cs="Arial"/>
          <w:sz w:val="20"/>
          <w:szCs w:val="20"/>
        </w:rPr>
        <w:t xml:space="preserve"> i to u 7. , 9. mjesecu, kao i vrlo toplo</w:t>
      </w:r>
      <w:r w:rsidR="00FA4C71" w:rsidRPr="009010BD">
        <w:rPr>
          <w:rFonts w:ascii="Arial" w:hAnsi="Arial" w:cs="Arial"/>
          <w:sz w:val="20"/>
          <w:szCs w:val="20"/>
        </w:rPr>
        <w:t xml:space="preserve"> vrijeme </w:t>
      </w:r>
      <w:r w:rsidRPr="009010BD">
        <w:rPr>
          <w:rFonts w:ascii="Arial" w:hAnsi="Arial" w:cs="Arial"/>
          <w:sz w:val="20"/>
          <w:szCs w:val="20"/>
        </w:rPr>
        <w:t xml:space="preserve"> početkom godine.</w:t>
      </w:r>
    </w:p>
    <w:p w:rsidR="00FA4C71" w:rsidRPr="009010BD" w:rsidRDefault="00FA4C71" w:rsidP="008C6414">
      <w:pPr>
        <w:rPr>
          <w:rFonts w:ascii="Arial" w:hAnsi="Arial" w:cs="Arial"/>
          <w:sz w:val="20"/>
          <w:szCs w:val="20"/>
        </w:rPr>
      </w:pPr>
    </w:p>
    <w:p w:rsidR="008C6414" w:rsidRPr="009010BD" w:rsidRDefault="008C6414" w:rsidP="008C6414">
      <w:pPr>
        <w:rPr>
          <w:rFonts w:ascii="Arial" w:hAnsi="Arial" w:cs="Arial"/>
          <w:sz w:val="20"/>
          <w:szCs w:val="20"/>
        </w:rPr>
      </w:pPr>
    </w:p>
    <w:p w:rsidR="008C6414" w:rsidRPr="009010BD" w:rsidRDefault="008C6414" w:rsidP="008C6414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>IZVORI</w:t>
      </w:r>
      <w:r w:rsidRPr="009010BD">
        <w:rPr>
          <w:rFonts w:ascii="Arial" w:hAnsi="Arial" w:cs="Arial"/>
          <w:sz w:val="20"/>
          <w:szCs w:val="20"/>
        </w:rPr>
        <w:t xml:space="preserve"> :</w:t>
      </w:r>
    </w:p>
    <w:p w:rsidR="008C6414" w:rsidRPr="009010BD" w:rsidRDefault="00726B1A" w:rsidP="008C6414">
      <w:pPr>
        <w:rPr>
          <w:rFonts w:ascii="Arial" w:hAnsi="Arial" w:cs="Arial"/>
          <w:sz w:val="20"/>
          <w:szCs w:val="20"/>
        </w:rPr>
      </w:pPr>
      <w:hyperlink r:id="rId15" w:history="1">
        <w:r w:rsidR="008C6414" w:rsidRPr="009010BD">
          <w:rPr>
            <w:rStyle w:val="Hyperlink"/>
            <w:rFonts w:ascii="Arial" w:hAnsi="Arial" w:cs="Arial"/>
            <w:sz w:val="20"/>
            <w:szCs w:val="20"/>
          </w:rPr>
          <w:t>www.meteo.hr</w:t>
        </w:r>
      </w:hyperlink>
      <w:r w:rsidR="008C6414" w:rsidRPr="009010BD">
        <w:rPr>
          <w:rFonts w:ascii="Arial" w:hAnsi="Arial" w:cs="Arial"/>
          <w:sz w:val="20"/>
          <w:szCs w:val="20"/>
        </w:rPr>
        <w:t xml:space="preserve"> </w:t>
      </w:r>
    </w:p>
    <w:p w:rsidR="00FA6544" w:rsidRDefault="00FA4C71">
      <w:r w:rsidRPr="009010BD">
        <w:rPr>
          <w:rFonts w:ascii="Arial" w:hAnsi="Arial" w:cs="Arial"/>
          <w:sz w:val="20"/>
          <w:szCs w:val="20"/>
        </w:rPr>
        <w:t>GLOBE protokoli</w:t>
      </w:r>
    </w:p>
    <w:sectPr w:rsidR="00FA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DB3"/>
    <w:multiLevelType w:val="hybridMultilevel"/>
    <w:tmpl w:val="937EE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EAA"/>
    <w:multiLevelType w:val="hybridMultilevel"/>
    <w:tmpl w:val="09BCB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7F95"/>
    <w:multiLevelType w:val="hybridMultilevel"/>
    <w:tmpl w:val="5F747B0A"/>
    <w:lvl w:ilvl="0" w:tplc="0C30044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D122E3C"/>
    <w:multiLevelType w:val="hybridMultilevel"/>
    <w:tmpl w:val="C9B2436A"/>
    <w:lvl w:ilvl="0" w:tplc="0C300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2114"/>
    <w:multiLevelType w:val="hybridMultilevel"/>
    <w:tmpl w:val="8C4CBABC"/>
    <w:lvl w:ilvl="0" w:tplc="0C300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44"/>
    <w:rsid w:val="00015087"/>
    <w:rsid w:val="00023CAD"/>
    <w:rsid w:val="000424AB"/>
    <w:rsid w:val="000614BD"/>
    <w:rsid w:val="00064F9E"/>
    <w:rsid w:val="00116A40"/>
    <w:rsid w:val="00162891"/>
    <w:rsid w:val="00187E75"/>
    <w:rsid w:val="001907C1"/>
    <w:rsid w:val="00196856"/>
    <w:rsid w:val="001A2A83"/>
    <w:rsid w:val="001C35D2"/>
    <w:rsid w:val="001D3447"/>
    <w:rsid w:val="002108BC"/>
    <w:rsid w:val="00234D33"/>
    <w:rsid w:val="00235689"/>
    <w:rsid w:val="002445EC"/>
    <w:rsid w:val="00257749"/>
    <w:rsid w:val="00320206"/>
    <w:rsid w:val="003320D2"/>
    <w:rsid w:val="0034358E"/>
    <w:rsid w:val="0038526B"/>
    <w:rsid w:val="00386164"/>
    <w:rsid w:val="003D55E5"/>
    <w:rsid w:val="003D79C1"/>
    <w:rsid w:val="003F7694"/>
    <w:rsid w:val="00415334"/>
    <w:rsid w:val="00461476"/>
    <w:rsid w:val="00487E9B"/>
    <w:rsid w:val="004D0EE2"/>
    <w:rsid w:val="00502A19"/>
    <w:rsid w:val="00504A71"/>
    <w:rsid w:val="00514E20"/>
    <w:rsid w:val="0052485F"/>
    <w:rsid w:val="00536097"/>
    <w:rsid w:val="0055414C"/>
    <w:rsid w:val="00574DAE"/>
    <w:rsid w:val="005859E1"/>
    <w:rsid w:val="00605253"/>
    <w:rsid w:val="00607913"/>
    <w:rsid w:val="00610D5C"/>
    <w:rsid w:val="00676D50"/>
    <w:rsid w:val="00687E06"/>
    <w:rsid w:val="006E4453"/>
    <w:rsid w:val="006F48AB"/>
    <w:rsid w:val="00705049"/>
    <w:rsid w:val="00726B1A"/>
    <w:rsid w:val="00736C36"/>
    <w:rsid w:val="007A0D1D"/>
    <w:rsid w:val="007B62B4"/>
    <w:rsid w:val="007D7905"/>
    <w:rsid w:val="007E2DF7"/>
    <w:rsid w:val="007E5474"/>
    <w:rsid w:val="00816DFF"/>
    <w:rsid w:val="0082462E"/>
    <w:rsid w:val="008814F7"/>
    <w:rsid w:val="008855A5"/>
    <w:rsid w:val="008A38AA"/>
    <w:rsid w:val="008A419C"/>
    <w:rsid w:val="008C6414"/>
    <w:rsid w:val="00900FD8"/>
    <w:rsid w:val="009010BD"/>
    <w:rsid w:val="009111E7"/>
    <w:rsid w:val="00947C3E"/>
    <w:rsid w:val="009B5A50"/>
    <w:rsid w:val="009C3EEA"/>
    <w:rsid w:val="009D4643"/>
    <w:rsid w:val="009F63AF"/>
    <w:rsid w:val="00A06906"/>
    <w:rsid w:val="00A201BD"/>
    <w:rsid w:val="00A31390"/>
    <w:rsid w:val="00AE10CE"/>
    <w:rsid w:val="00AF487C"/>
    <w:rsid w:val="00B018B1"/>
    <w:rsid w:val="00B447FF"/>
    <w:rsid w:val="00B84293"/>
    <w:rsid w:val="00B8548E"/>
    <w:rsid w:val="00B91826"/>
    <w:rsid w:val="00BD4F45"/>
    <w:rsid w:val="00C145D7"/>
    <w:rsid w:val="00C55036"/>
    <w:rsid w:val="00C62273"/>
    <w:rsid w:val="00CA0FFF"/>
    <w:rsid w:val="00CB2E0F"/>
    <w:rsid w:val="00CB3F3D"/>
    <w:rsid w:val="00CE2A0E"/>
    <w:rsid w:val="00D21189"/>
    <w:rsid w:val="00D77DFC"/>
    <w:rsid w:val="00DC4767"/>
    <w:rsid w:val="00E54B21"/>
    <w:rsid w:val="00E742F6"/>
    <w:rsid w:val="00E829B2"/>
    <w:rsid w:val="00EA35D0"/>
    <w:rsid w:val="00ED5669"/>
    <w:rsid w:val="00EF3BD4"/>
    <w:rsid w:val="00EF5152"/>
    <w:rsid w:val="00F47B76"/>
    <w:rsid w:val="00F56DCE"/>
    <w:rsid w:val="00F72860"/>
    <w:rsid w:val="00FA4C71"/>
    <w:rsid w:val="00FA6544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2"/>
  </w:style>
  <w:style w:type="paragraph" w:styleId="Heading1">
    <w:name w:val="heading 1"/>
    <w:basedOn w:val="Normal"/>
    <w:next w:val="Normal"/>
    <w:link w:val="Heading1Char"/>
    <w:uiPriority w:val="99"/>
    <w:qFormat/>
    <w:rsid w:val="00FA654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6544"/>
    <w:rPr>
      <w:rFonts w:ascii="Arial" w:eastAsia="Calibri" w:hAnsi="Arial" w:cs="Arial"/>
      <w:b/>
      <w:bCs/>
      <w:kern w:val="32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99"/>
    <w:rsid w:val="00FA6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FA65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8C6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F6"/>
    <w:pPr>
      <w:ind w:left="720"/>
      <w:contextualSpacing/>
    </w:pPr>
  </w:style>
  <w:style w:type="table" w:styleId="TableGrid">
    <w:name w:val="Table Grid"/>
    <w:basedOn w:val="TableNormal"/>
    <w:uiPriority w:val="59"/>
    <w:rsid w:val="0068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2"/>
  </w:style>
  <w:style w:type="paragraph" w:styleId="Heading1">
    <w:name w:val="heading 1"/>
    <w:basedOn w:val="Normal"/>
    <w:next w:val="Normal"/>
    <w:link w:val="Heading1Char"/>
    <w:uiPriority w:val="99"/>
    <w:qFormat/>
    <w:rsid w:val="00FA654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6544"/>
    <w:rPr>
      <w:rFonts w:ascii="Arial" w:eastAsia="Calibri" w:hAnsi="Arial" w:cs="Arial"/>
      <w:b/>
      <w:bCs/>
      <w:kern w:val="32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99"/>
    <w:rsid w:val="00FA6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FA65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8C6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F6"/>
    <w:pPr>
      <w:ind w:left="720"/>
      <w:contextualSpacing/>
    </w:pPr>
  </w:style>
  <w:style w:type="table" w:styleId="TableGrid">
    <w:name w:val="Table Grid"/>
    <w:basedOn w:val="TableNormal"/>
    <w:uiPriority w:val="59"/>
    <w:rsid w:val="0068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meteo.hr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hyperlink" Target="http://www.meteo.hr" TargetMode="Externa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1.xls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2.xls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100"/>
              <a:t>Usporedba</a:t>
            </a:r>
            <a:r>
              <a:rPr lang="hr-HR" sz="1100" baseline="0"/>
              <a:t> srednjih mjesečnih temperatura u Preku i Zadru u 2014</a:t>
            </a:r>
            <a:r>
              <a:rPr lang="hr-HR" baseline="0"/>
              <a:t>.</a:t>
            </a:r>
            <a:endParaRPr lang="hr-HR"/>
          </a:p>
        </c:rich>
      </c:tx>
      <c:layout>
        <c:manualLayout>
          <c:xMode val="edge"/>
          <c:yMode val="edge"/>
          <c:x val="0.1396045964053151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302988133194764E-2"/>
          <c:y val="0.23661373578302713"/>
          <c:w val="0.88988567704204757"/>
          <c:h val="0.62421041119860021"/>
        </c:manualLayout>
      </c:layout>
      <c:lineChart>
        <c:grouping val="standard"/>
        <c:varyColors val="0"/>
        <c:ser>
          <c:idx val="0"/>
          <c:order val="0"/>
          <c:tx>
            <c:v>Preko</c:v>
          </c:tx>
          <c:marker>
            <c:symbol val="none"/>
          </c:marker>
          <c:val>
            <c:numRef>
              <c:f>'[Chart in Microsoft Word]Sheet2'!$B$56:$B$67</c:f>
              <c:numCache>
                <c:formatCode>General</c:formatCode>
                <c:ptCount val="12"/>
                <c:pt idx="0">
                  <c:v>10.9</c:v>
                </c:pt>
                <c:pt idx="1">
                  <c:v>11.4</c:v>
                </c:pt>
                <c:pt idx="2">
                  <c:v>12.4</c:v>
                </c:pt>
                <c:pt idx="3">
                  <c:v>14.8</c:v>
                </c:pt>
                <c:pt idx="4">
                  <c:v>17.5</c:v>
                </c:pt>
                <c:pt idx="5">
                  <c:v>23.2</c:v>
                </c:pt>
                <c:pt idx="6">
                  <c:v>23.6</c:v>
                </c:pt>
                <c:pt idx="7">
                  <c:v>23.9</c:v>
                </c:pt>
                <c:pt idx="8">
                  <c:v>19.600000000000001</c:v>
                </c:pt>
                <c:pt idx="9">
                  <c:v>17.7</c:v>
                </c:pt>
                <c:pt idx="10">
                  <c:v>11.7</c:v>
                </c:pt>
                <c:pt idx="11">
                  <c:v>10.6</c:v>
                </c:pt>
              </c:numCache>
            </c:numRef>
          </c:val>
          <c:smooth val="0"/>
        </c:ser>
        <c:ser>
          <c:idx val="1"/>
          <c:order val="1"/>
          <c:tx>
            <c:v>Zadar</c:v>
          </c:tx>
          <c:marker>
            <c:symbol val="none"/>
          </c:marker>
          <c:val>
            <c:numRef>
              <c:f>'[Chart in Microsoft Word]Sheet2'!$C$56:$C$67</c:f>
              <c:numCache>
                <c:formatCode>General</c:formatCode>
                <c:ptCount val="12"/>
                <c:pt idx="0">
                  <c:v>10.9</c:v>
                </c:pt>
                <c:pt idx="1">
                  <c:v>11</c:v>
                </c:pt>
                <c:pt idx="2">
                  <c:v>11.9</c:v>
                </c:pt>
                <c:pt idx="3">
                  <c:v>14.9</c:v>
                </c:pt>
                <c:pt idx="4">
                  <c:v>17.399999999999999</c:v>
                </c:pt>
                <c:pt idx="5">
                  <c:v>22.4</c:v>
                </c:pt>
                <c:pt idx="6">
                  <c:v>23.7</c:v>
                </c:pt>
                <c:pt idx="7">
                  <c:v>24</c:v>
                </c:pt>
                <c:pt idx="8">
                  <c:v>19.899999999999999</c:v>
                </c:pt>
                <c:pt idx="9">
                  <c:v>17.5</c:v>
                </c:pt>
                <c:pt idx="10">
                  <c:v>15</c:v>
                </c:pt>
                <c:pt idx="11">
                  <c:v>9.8000000000000007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65600"/>
        <c:axId val="107867520"/>
      </c:lineChart>
      <c:catAx>
        <c:axId val="10786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7867520"/>
        <c:crosses val="autoZero"/>
        <c:auto val="1"/>
        <c:lblAlgn val="ctr"/>
        <c:lblOffset val="100"/>
        <c:noMultiLvlLbl val="0"/>
      </c:catAx>
      <c:valAx>
        <c:axId val="10786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86560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t"/>
      <c:layout>
        <c:manualLayout>
          <c:xMode val="edge"/>
          <c:yMode val="edge"/>
          <c:x val="0.6411776380301456"/>
          <c:y val="0.11336132983377079"/>
          <c:w val="0.33807700211970149"/>
          <c:h val="0.100460629921259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000"/>
              <a:t>Usporedba srednjih mjesečnih temperatura u Preku u 2014. i višegodišnji prosjek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899960513785334"/>
          <c:y val="0.26176035687846705"/>
          <c:w val="0.82855201728102568"/>
          <c:h val="0.60023381692673028"/>
        </c:manualLayout>
      </c:layout>
      <c:lineChart>
        <c:grouping val="standard"/>
        <c:varyColors val="0"/>
        <c:ser>
          <c:idx val="0"/>
          <c:order val="0"/>
          <c:tx>
            <c:v>Preko</c:v>
          </c:tx>
          <c:marker>
            <c:symbol val="none"/>
          </c:marker>
          <c:val>
            <c:numRef>
              <c:f>Sheet2!$B$40:$B$51</c:f>
              <c:numCache>
                <c:formatCode>General</c:formatCode>
                <c:ptCount val="12"/>
                <c:pt idx="0">
                  <c:v>10.9</c:v>
                </c:pt>
                <c:pt idx="1">
                  <c:v>11.4</c:v>
                </c:pt>
                <c:pt idx="2">
                  <c:v>12.4</c:v>
                </c:pt>
                <c:pt idx="3">
                  <c:v>14.8</c:v>
                </c:pt>
                <c:pt idx="4">
                  <c:v>17.5</c:v>
                </c:pt>
                <c:pt idx="5">
                  <c:v>23.2</c:v>
                </c:pt>
                <c:pt idx="6">
                  <c:v>23.6</c:v>
                </c:pt>
                <c:pt idx="7">
                  <c:v>23.9</c:v>
                </c:pt>
                <c:pt idx="8">
                  <c:v>19.600000000000001</c:v>
                </c:pt>
                <c:pt idx="9">
                  <c:v>17.7</c:v>
                </c:pt>
                <c:pt idx="10">
                  <c:v>11.7</c:v>
                </c:pt>
                <c:pt idx="11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v>višegodišnji prosjek</c:v>
          </c:tx>
          <c:marker>
            <c:symbol val="none"/>
          </c:marker>
          <c:val>
            <c:numRef>
              <c:f>Sheet2!$C$40:$C$51</c:f>
              <c:numCache>
                <c:formatCode>General</c:formatCode>
                <c:ptCount val="12"/>
                <c:pt idx="0">
                  <c:v>7.3</c:v>
                </c:pt>
                <c:pt idx="1">
                  <c:v>7.5</c:v>
                </c:pt>
                <c:pt idx="2">
                  <c:v>9.6999999999999993</c:v>
                </c:pt>
                <c:pt idx="3">
                  <c:v>12.9</c:v>
                </c:pt>
                <c:pt idx="4">
                  <c:v>17.5</c:v>
                </c:pt>
                <c:pt idx="5">
                  <c:v>21.3</c:v>
                </c:pt>
                <c:pt idx="6">
                  <c:v>23.9</c:v>
                </c:pt>
                <c:pt idx="7">
                  <c:v>23.7</c:v>
                </c:pt>
                <c:pt idx="8">
                  <c:v>19.899999999999999</c:v>
                </c:pt>
                <c:pt idx="9">
                  <c:v>15.9</c:v>
                </c:pt>
                <c:pt idx="10">
                  <c:v>11.4</c:v>
                </c:pt>
                <c:pt idx="11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643648"/>
        <c:axId val="107645568"/>
      </c:lineChart>
      <c:catAx>
        <c:axId val="10764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107645568"/>
        <c:crosses val="autoZero"/>
        <c:auto val="1"/>
        <c:lblAlgn val="ctr"/>
        <c:lblOffset val="100"/>
        <c:noMultiLvlLbl val="0"/>
      </c:catAx>
      <c:valAx>
        <c:axId val="107645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64364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t"/>
      <c:layout>
        <c:manualLayout>
          <c:xMode val="edge"/>
          <c:yMode val="edge"/>
          <c:x val="0.23340556987898636"/>
          <c:y val="0.19247863247863248"/>
          <c:w val="0.5331886279701763"/>
          <c:h val="6.878101775739571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 </a:t>
            </a:r>
            <a:r>
              <a:rPr lang="hr-HR" sz="1200"/>
              <a:t>Količina oborina u Preku u 2014.</a:t>
            </a:r>
          </a:p>
        </c:rich>
      </c:tx>
      <c:layout>
        <c:manualLayout>
          <c:xMode val="edge"/>
          <c:yMode val="edge"/>
          <c:x val="0.16831255468066492"/>
          <c:y val="9.2592592592592587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količina oborina </c:v>
          </c:tx>
          <c:invertIfNegative val="0"/>
          <c:val>
            <c:numRef>
              <c:f>Sheet1!$C$43:$C$54</c:f>
              <c:numCache>
                <c:formatCode>General</c:formatCode>
                <c:ptCount val="12"/>
                <c:pt idx="0">
                  <c:v>62</c:v>
                </c:pt>
                <c:pt idx="1">
                  <c:v>168</c:v>
                </c:pt>
                <c:pt idx="2">
                  <c:v>45</c:v>
                </c:pt>
                <c:pt idx="3">
                  <c:v>81</c:v>
                </c:pt>
                <c:pt idx="4">
                  <c:v>61</c:v>
                </c:pt>
                <c:pt idx="5">
                  <c:v>67.5</c:v>
                </c:pt>
                <c:pt idx="6">
                  <c:v>349</c:v>
                </c:pt>
                <c:pt idx="7">
                  <c:v>80</c:v>
                </c:pt>
                <c:pt idx="8">
                  <c:v>223</c:v>
                </c:pt>
                <c:pt idx="9">
                  <c:v>23</c:v>
                </c:pt>
                <c:pt idx="10">
                  <c:v>134.5</c:v>
                </c:pt>
                <c:pt idx="11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21664"/>
        <c:axId val="107136128"/>
      </c:barChart>
      <c:catAx>
        <c:axId val="10712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mjes</a:t>
                </a:r>
                <a:r>
                  <a:rPr lang="hr-HR"/>
                  <a:t>eci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crossAx val="107136128"/>
        <c:crosses val="autoZero"/>
        <c:auto val="1"/>
        <c:lblAlgn val="ctr"/>
        <c:lblOffset val="100"/>
        <c:noMultiLvlLbl val="0"/>
      </c:catAx>
      <c:valAx>
        <c:axId val="107136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količina</a:t>
                </a:r>
                <a:r>
                  <a:rPr lang="hr-HR" baseline="0"/>
                  <a:t> oborina (mm)</a:t>
                </a:r>
                <a:endParaRPr lang="hr-H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1216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1000"/>
              <a:t>Usporedba količine oborina u 2014. s višegodišnjim prosjekom</a:t>
            </a:r>
          </a:p>
        </c:rich>
      </c:tx>
      <c:layout>
        <c:manualLayout>
          <c:xMode val="edge"/>
          <c:yMode val="edge"/>
          <c:x val="0.16990329927767295"/>
          <c:y val="4.40934532690533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783191721012402"/>
          <c:y val="0.28295819935691319"/>
          <c:w val="0.76649931758530176"/>
          <c:h val="0.63665594855305463"/>
        </c:manualLayout>
      </c:layout>
      <c:barChart>
        <c:barDir val="col"/>
        <c:grouping val="clustered"/>
        <c:varyColors val="0"/>
        <c:ser>
          <c:idx val="0"/>
          <c:order val="0"/>
          <c:tx>
            <c:v>višegodišnji prosjek</c:v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List1!$N$25</c:f>
              <c:numCache>
                <c:formatCode>General</c:formatCode>
                <c:ptCount val="1"/>
                <c:pt idx="0">
                  <c:v>879</c:v>
                </c:pt>
              </c:numCache>
            </c:numRef>
          </c:val>
        </c:ser>
        <c:ser>
          <c:idx val="1"/>
          <c:order val="1"/>
          <c:tx>
            <c:v>2014</c:v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List1!$Q$26</c:f>
              <c:numCache>
                <c:formatCode>General</c:formatCode>
                <c:ptCount val="1"/>
                <c:pt idx="0">
                  <c:v>1425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49184"/>
        <c:axId val="107150720"/>
      </c:barChart>
      <c:catAx>
        <c:axId val="1071491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7150720"/>
        <c:crosses val="autoZero"/>
        <c:auto val="1"/>
        <c:lblAlgn val="ctr"/>
        <c:lblOffset val="100"/>
        <c:noMultiLvlLbl val="0"/>
      </c:catAx>
      <c:valAx>
        <c:axId val="107150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oborine ( mm )</a:t>
                </a:r>
              </a:p>
            </c:rich>
          </c:tx>
          <c:layout>
            <c:manualLayout>
              <c:xMode val="edge"/>
              <c:yMode val="edge"/>
              <c:x val="2.5889967637540454E-2"/>
              <c:y val="0.4469453376205787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0714918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plotArea>
    <c:legend>
      <c:legendPos val="t"/>
      <c:overlay val="1"/>
      <c:spPr>
        <a:solidFill>
          <a:srgbClr val="FFFFFF"/>
        </a:solidFill>
        <a:ln w="3175">
          <a:solidFill>
            <a:schemeClr val="bg1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1000"/>
              <a:t>Količina oborina u 2014. i višegodišnji prosjek</a:t>
            </a:r>
          </a:p>
        </c:rich>
      </c:tx>
      <c:layout>
        <c:manualLayout>
          <c:xMode val="edge"/>
          <c:yMode val="edge"/>
          <c:x val="0.14757281553398058"/>
          <c:y val="3.536977491961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80582524271845"/>
          <c:y val="0.21543408360128619"/>
          <c:w val="0.768555165544066"/>
          <c:h val="0.60747718102401382"/>
        </c:manualLayout>
      </c:layout>
      <c:barChart>
        <c:barDir val="col"/>
        <c:grouping val="clustered"/>
        <c:varyColors val="0"/>
        <c:ser>
          <c:idx val="0"/>
          <c:order val="0"/>
          <c:tx>
            <c:v>Preko</c:v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List1!$A$1:$A$12</c:f>
              <c:numCache>
                <c:formatCode>General</c:formatCode>
                <c:ptCount val="12"/>
                <c:pt idx="0">
                  <c:v>83</c:v>
                </c:pt>
                <c:pt idx="1">
                  <c:v>168</c:v>
                </c:pt>
                <c:pt idx="2">
                  <c:v>45</c:v>
                </c:pt>
                <c:pt idx="3">
                  <c:v>102</c:v>
                </c:pt>
                <c:pt idx="4">
                  <c:v>61</c:v>
                </c:pt>
                <c:pt idx="5">
                  <c:v>67.5</c:v>
                </c:pt>
                <c:pt idx="6">
                  <c:v>349</c:v>
                </c:pt>
                <c:pt idx="7">
                  <c:v>80</c:v>
                </c:pt>
                <c:pt idx="8">
                  <c:v>274</c:v>
                </c:pt>
                <c:pt idx="9">
                  <c:v>23</c:v>
                </c:pt>
                <c:pt idx="10">
                  <c:v>143.5</c:v>
                </c:pt>
                <c:pt idx="11">
                  <c:v>50</c:v>
                </c:pt>
              </c:numCache>
            </c:numRef>
          </c:val>
        </c:ser>
        <c:ser>
          <c:idx val="1"/>
          <c:order val="1"/>
          <c:tx>
            <c:v>višegodišnji prosjek</c:v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List1!$B$1:$B$13</c:f>
              <c:numCache>
                <c:formatCode>General</c:formatCode>
                <c:ptCount val="13"/>
                <c:pt idx="0">
                  <c:v>73</c:v>
                </c:pt>
                <c:pt idx="1">
                  <c:v>63</c:v>
                </c:pt>
                <c:pt idx="2">
                  <c:v>64</c:v>
                </c:pt>
                <c:pt idx="3">
                  <c:v>70</c:v>
                </c:pt>
                <c:pt idx="4">
                  <c:v>65</c:v>
                </c:pt>
                <c:pt idx="5">
                  <c:v>54</c:v>
                </c:pt>
                <c:pt idx="6">
                  <c:v>30</c:v>
                </c:pt>
                <c:pt idx="7">
                  <c:v>50</c:v>
                </c:pt>
                <c:pt idx="8">
                  <c:v>104</c:v>
                </c:pt>
                <c:pt idx="9">
                  <c:v>107</c:v>
                </c:pt>
                <c:pt idx="10">
                  <c:v>106</c:v>
                </c:pt>
                <c:pt idx="11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56640"/>
        <c:axId val="107858560"/>
      </c:barChart>
      <c:catAx>
        <c:axId val="10785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mjesec</a:t>
                </a:r>
              </a:p>
            </c:rich>
          </c:tx>
          <c:layout>
            <c:manualLayout>
              <c:xMode val="edge"/>
              <c:yMode val="edge"/>
              <c:x val="0.41359223300970877"/>
              <c:y val="0.877813504823151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0785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858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količina oborina(mm)</a:t>
                </a:r>
              </a:p>
            </c:rich>
          </c:tx>
          <c:layout>
            <c:manualLayout>
              <c:xMode val="edge"/>
              <c:yMode val="edge"/>
              <c:x val="3.1067961165048542E-2"/>
              <c:y val="0.2733118971061093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07856640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4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chemeClr val="bg1"/>
          </a:solidFill>
          <a:prstDash val="solid"/>
        </a:ln>
      </c:spPr>
    </c:plotArea>
    <c:legend>
      <c:legendPos val="t"/>
      <c:overlay val="0"/>
      <c:spPr>
        <a:solidFill>
          <a:srgbClr val="FFFFFF"/>
        </a:solidFill>
        <a:ln w="3175">
          <a:solidFill>
            <a:schemeClr val="bg1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493F-E349-4564-93EB-6DD145E9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Ice</cp:lastModifiedBy>
  <cp:revision>2</cp:revision>
  <dcterms:created xsi:type="dcterms:W3CDTF">2015-05-03T18:13:00Z</dcterms:created>
  <dcterms:modified xsi:type="dcterms:W3CDTF">2015-05-03T18:13:00Z</dcterms:modified>
</cp:coreProperties>
</file>